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EE2CF6">
      <w:pPr>
        <w:pStyle w:val="3"/>
        <w:ind w:left="0" w:leftChars="0" w:firstLine="0" w:firstLineChars="0"/>
        <w:jc w:val="center"/>
        <w:rPr>
          <w:sz w:val="32"/>
          <w:szCs w:val="32"/>
          <w:highlight w:val="none"/>
        </w:rPr>
      </w:pPr>
      <w:r>
        <w:rPr>
          <w:rFonts w:hint="eastAsia"/>
          <w:sz w:val="32"/>
          <w:szCs w:val="32"/>
          <w:highlight w:val="none"/>
          <w:lang w:val="en-US" w:eastAsia="zh-CN"/>
        </w:rPr>
        <w:t>漳州市长泰区</w:t>
      </w:r>
      <w:r>
        <w:rPr>
          <w:sz w:val="32"/>
          <w:szCs w:val="32"/>
          <w:highlight w:val="none"/>
        </w:rPr>
        <w:t>农村信用合作联社关于金融产品和服务所执行标准情况的声明</w:t>
      </w:r>
    </w:p>
    <w:p w14:paraId="26E1B2BA">
      <w:pPr>
        <w:pStyle w:val="3"/>
        <w:rPr>
          <w:sz w:val="32"/>
          <w:szCs w:val="32"/>
          <w:highlight w:val="none"/>
        </w:rPr>
      </w:pPr>
    </w:p>
    <w:p w14:paraId="23A22E41">
      <w:pPr>
        <w:pStyle w:val="2"/>
        <w:keepNext w:val="0"/>
        <w:keepLines w:val="0"/>
        <w:pageBreakBefore w:val="0"/>
        <w:widowControl w:val="0"/>
        <w:kinsoku/>
        <w:wordWrap/>
        <w:overflowPunct/>
        <w:topLinePunct w:val="0"/>
        <w:autoSpaceDE w:val="0"/>
        <w:autoSpaceDN w:val="0"/>
        <w:bidi w:val="0"/>
        <w:adjustRightInd/>
        <w:snapToGrid/>
        <w:spacing w:line="440" w:lineRule="exact"/>
        <w:ind w:left="697" w:leftChars="0" w:firstLine="640" w:firstLineChars="200"/>
        <w:jc w:val="both"/>
        <w:textAlignment w:val="auto"/>
        <w:rPr>
          <w:sz w:val="32"/>
          <w:szCs w:val="32"/>
          <w:highlight w:val="none"/>
        </w:rPr>
      </w:pPr>
      <w:r>
        <w:rPr>
          <w:sz w:val="32"/>
          <w:szCs w:val="32"/>
          <w:highlight w:val="none"/>
        </w:rPr>
        <w:t>根据《中华人民共和国标准化法》有关规定，现将</w:t>
      </w:r>
      <w:r>
        <w:rPr>
          <w:rFonts w:hint="eastAsia"/>
          <w:sz w:val="32"/>
          <w:szCs w:val="32"/>
          <w:highlight w:val="none"/>
          <w:lang w:val="en-US" w:eastAsia="zh-CN"/>
        </w:rPr>
        <w:t>长泰农信</w:t>
      </w:r>
      <w:r>
        <w:rPr>
          <w:sz w:val="32"/>
          <w:szCs w:val="32"/>
          <w:highlight w:val="none"/>
        </w:rPr>
        <w:t>联社提供的金融产品和服务所执行的国家标准、行业标准、团体标准、企业标准情况公开如下。</w:t>
      </w:r>
      <w:r>
        <w:rPr>
          <w:rFonts w:hint="eastAsia"/>
          <w:sz w:val="32"/>
          <w:szCs w:val="32"/>
          <w:highlight w:val="none"/>
          <w:lang w:val="en-US" w:eastAsia="zh-CN"/>
        </w:rPr>
        <w:t>长泰农信</w:t>
      </w:r>
      <w:r>
        <w:rPr>
          <w:sz w:val="32"/>
          <w:szCs w:val="32"/>
          <w:highlight w:val="none"/>
        </w:rPr>
        <w:t>联社承诺相关金融产品和服务符合公开标准规定的各项技术要求</w:t>
      </w:r>
      <w:r>
        <w:rPr>
          <w:rFonts w:hint="eastAsia"/>
          <w:sz w:val="32"/>
          <w:szCs w:val="32"/>
          <w:highlight w:val="none"/>
          <w:lang w:eastAsia="zh-CN"/>
        </w:rPr>
        <w:t>，</w:t>
      </w:r>
      <w:r>
        <w:rPr>
          <w:sz w:val="32"/>
          <w:szCs w:val="32"/>
          <w:highlight w:val="none"/>
        </w:rPr>
        <w:t>对声明公开信息的真实性、准确性，合法性负责。本次声明公开的信息统计截至202</w:t>
      </w:r>
      <w:r>
        <w:rPr>
          <w:rFonts w:hint="eastAsia"/>
          <w:sz w:val="32"/>
          <w:szCs w:val="32"/>
          <w:highlight w:val="none"/>
          <w:lang w:val="en-US" w:eastAsia="zh-CN"/>
        </w:rPr>
        <w:t>5</w:t>
      </w:r>
      <w:r>
        <w:rPr>
          <w:sz w:val="32"/>
          <w:szCs w:val="32"/>
          <w:highlight w:val="none"/>
        </w:rPr>
        <w:t>年10月</w:t>
      </w:r>
      <w:r>
        <w:rPr>
          <w:rFonts w:hint="eastAsia"/>
          <w:sz w:val="32"/>
          <w:szCs w:val="32"/>
          <w:highlight w:val="none"/>
          <w:lang w:val="en-US" w:eastAsia="zh-CN"/>
        </w:rPr>
        <w:t>31日</w:t>
      </w:r>
      <w:r>
        <w:rPr>
          <w:sz w:val="32"/>
          <w:szCs w:val="32"/>
          <w:highlight w:val="none"/>
        </w:rPr>
        <w:t>。</w:t>
      </w:r>
    </w:p>
    <w:p w14:paraId="3A1EB8EE">
      <w:pPr>
        <w:pStyle w:val="2"/>
        <w:keepNext w:val="0"/>
        <w:keepLines w:val="0"/>
        <w:pageBreakBefore w:val="0"/>
        <w:widowControl w:val="0"/>
        <w:kinsoku/>
        <w:wordWrap/>
        <w:overflowPunct/>
        <w:topLinePunct w:val="0"/>
        <w:autoSpaceDE w:val="0"/>
        <w:autoSpaceDN w:val="0"/>
        <w:bidi w:val="0"/>
        <w:adjustRightInd/>
        <w:snapToGrid/>
        <w:spacing w:line="440" w:lineRule="exact"/>
        <w:ind w:left="697" w:leftChars="0" w:firstLine="640" w:firstLineChars="200"/>
        <w:jc w:val="both"/>
        <w:textAlignment w:val="auto"/>
        <w:rPr>
          <w:rFonts w:hint="default"/>
          <w:sz w:val="32"/>
          <w:szCs w:val="32"/>
          <w:highlight w:val="none"/>
          <w:lang w:val="en-US" w:eastAsia="zh-CN"/>
        </w:rPr>
      </w:pPr>
      <w:r>
        <w:rPr>
          <w:sz w:val="32"/>
          <w:szCs w:val="32"/>
          <w:highlight w:val="none"/>
        </w:rPr>
        <w:t>联系方式：</w:t>
      </w:r>
      <w:r>
        <w:rPr>
          <w:rFonts w:hint="eastAsia"/>
          <w:sz w:val="32"/>
          <w:szCs w:val="32"/>
          <w:highlight w:val="none"/>
          <w:lang w:val="en-US" w:eastAsia="zh-CN"/>
        </w:rPr>
        <w:t>郑志福</w:t>
      </w:r>
      <w:r>
        <w:rPr>
          <w:rFonts w:hint="default"/>
          <w:sz w:val="32"/>
          <w:szCs w:val="32"/>
          <w:highlight w:val="none"/>
          <w:lang w:val="en-US" w:eastAsia="zh-CN"/>
        </w:rPr>
        <w:t xml:space="preserve"> </w:t>
      </w:r>
      <w:r>
        <w:rPr>
          <w:sz w:val="32"/>
          <w:szCs w:val="32"/>
          <w:highlight w:val="none"/>
        </w:rPr>
        <w:t>电话</w:t>
      </w:r>
      <w:r>
        <w:rPr>
          <w:rFonts w:hint="eastAsia"/>
          <w:sz w:val="32"/>
          <w:szCs w:val="32"/>
          <w:highlight w:val="none"/>
          <w:lang w:eastAsia="zh-CN"/>
        </w:rPr>
        <w:t>：</w:t>
      </w:r>
      <w:r>
        <w:rPr>
          <w:rFonts w:hint="eastAsia"/>
          <w:sz w:val="32"/>
          <w:szCs w:val="32"/>
          <w:highlight w:val="none"/>
          <w:lang w:val="en-US" w:eastAsia="zh-CN"/>
        </w:rPr>
        <w:t>18960037917</w:t>
      </w:r>
      <w:r>
        <w:rPr>
          <w:rFonts w:hint="default"/>
          <w:sz w:val="32"/>
          <w:szCs w:val="32"/>
          <w:highlight w:val="none"/>
          <w:lang w:val="en-US" w:eastAsia="zh-CN"/>
        </w:rPr>
        <w:t xml:space="preserve"> </w:t>
      </w:r>
      <w:r>
        <w:rPr>
          <w:rFonts w:hint="eastAsia"/>
          <w:sz w:val="32"/>
          <w:szCs w:val="32"/>
          <w:highlight w:val="none"/>
          <w:lang w:val="en-US" w:eastAsia="zh-CN"/>
        </w:rPr>
        <w:t>邮箱：ctainx</w:t>
      </w:r>
      <w:r>
        <w:rPr>
          <w:rFonts w:hint="default"/>
          <w:sz w:val="32"/>
          <w:szCs w:val="32"/>
          <w:highlight w:val="none"/>
          <w:lang w:val="en-US" w:eastAsia="zh-CN"/>
        </w:rPr>
        <w:t>kj@fjnx.com.cn</w:t>
      </w:r>
      <w:r>
        <w:rPr>
          <w:rFonts w:hint="eastAsia"/>
          <w:sz w:val="32"/>
          <w:szCs w:val="32"/>
          <w:highlight w:val="none"/>
          <w:lang w:eastAsia="zh-CN"/>
        </w:rPr>
        <w:t>。</w:t>
      </w:r>
    </w:p>
    <w:tbl>
      <w:tblPr>
        <w:tblStyle w:val="4"/>
        <w:tblpPr w:leftFromText="180" w:rightFromText="180" w:vertAnchor="text" w:horzAnchor="page" w:tblpX="2212" w:tblpY="312"/>
        <w:tblOverlap w:val="never"/>
        <w:tblW w:w="130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8"/>
        <w:gridCol w:w="1875"/>
        <w:gridCol w:w="1731"/>
        <w:gridCol w:w="3222"/>
        <w:gridCol w:w="1089"/>
        <w:gridCol w:w="4056"/>
        <w:gridCol w:w="588"/>
      </w:tblGrid>
      <w:tr w14:paraId="7B2FE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 w:hRule="atLeast"/>
        </w:trPr>
        <w:tc>
          <w:tcPr>
            <w:tcW w:w="518" w:type="dxa"/>
            <w:vAlign w:val="center"/>
          </w:tcPr>
          <w:p w14:paraId="6CBB39C8">
            <w:pPr>
              <w:pStyle w:val="8"/>
              <w:keepNext w:val="0"/>
              <w:keepLines w:val="0"/>
              <w:pageBreakBefore w:val="0"/>
              <w:widowControl w:val="0"/>
              <w:kinsoku/>
              <w:wordWrap/>
              <w:overflowPunct/>
              <w:topLinePunct w:val="0"/>
              <w:autoSpaceDE w:val="0"/>
              <w:autoSpaceDN w:val="0"/>
              <w:bidi w:val="0"/>
              <w:adjustRightInd/>
              <w:snapToGrid/>
              <w:spacing w:before="60" w:line="400" w:lineRule="exact"/>
              <w:jc w:val="center"/>
              <w:textAlignment w:val="auto"/>
              <w:outlineLvl w:val="9"/>
              <w:rPr>
                <w:sz w:val="21"/>
                <w:szCs w:val="21"/>
                <w:highlight w:val="none"/>
              </w:rPr>
            </w:pPr>
            <w:r>
              <w:rPr>
                <w:sz w:val="21"/>
                <w:szCs w:val="21"/>
                <w:highlight w:val="none"/>
              </w:rPr>
              <w:t>序号</w:t>
            </w:r>
          </w:p>
        </w:tc>
        <w:tc>
          <w:tcPr>
            <w:tcW w:w="1875" w:type="dxa"/>
            <w:vAlign w:val="center"/>
          </w:tcPr>
          <w:p w14:paraId="59E7CFA7">
            <w:pPr>
              <w:pStyle w:val="8"/>
              <w:keepNext w:val="0"/>
              <w:keepLines w:val="0"/>
              <w:pageBreakBefore w:val="0"/>
              <w:widowControl w:val="0"/>
              <w:kinsoku/>
              <w:wordWrap/>
              <w:overflowPunct/>
              <w:topLinePunct w:val="0"/>
              <w:autoSpaceDE w:val="0"/>
              <w:autoSpaceDN w:val="0"/>
              <w:bidi w:val="0"/>
              <w:adjustRightInd/>
              <w:snapToGrid/>
              <w:spacing w:before="65" w:line="400" w:lineRule="exact"/>
              <w:ind w:left="216"/>
              <w:jc w:val="center"/>
              <w:textAlignment w:val="auto"/>
              <w:outlineLvl w:val="9"/>
              <w:rPr>
                <w:sz w:val="21"/>
                <w:szCs w:val="21"/>
                <w:highlight w:val="none"/>
              </w:rPr>
            </w:pPr>
            <w:r>
              <w:rPr>
                <w:sz w:val="21"/>
                <w:szCs w:val="21"/>
                <w:highlight w:val="none"/>
              </w:rPr>
              <w:t>产品或服务名称</w:t>
            </w:r>
          </w:p>
        </w:tc>
        <w:tc>
          <w:tcPr>
            <w:tcW w:w="1731" w:type="dxa"/>
            <w:vAlign w:val="center"/>
          </w:tcPr>
          <w:p w14:paraId="43DC0F7C">
            <w:pPr>
              <w:pStyle w:val="8"/>
              <w:keepNext w:val="0"/>
              <w:keepLines w:val="0"/>
              <w:pageBreakBefore w:val="0"/>
              <w:widowControl w:val="0"/>
              <w:kinsoku/>
              <w:wordWrap/>
              <w:overflowPunct/>
              <w:topLinePunct w:val="0"/>
              <w:autoSpaceDE w:val="0"/>
              <w:autoSpaceDN w:val="0"/>
              <w:bidi w:val="0"/>
              <w:adjustRightInd/>
              <w:snapToGrid/>
              <w:spacing w:before="65" w:line="400" w:lineRule="exact"/>
              <w:ind w:firstLine="210" w:firstLineChars="100"/>
              <w:jc w:val="center"/>
              <w:textAlignment w:val="auto"/>
              <w:outlineLvl w:val="9"/>
              <w:rPr>
                <w:sz w:val="21"/>
                <w:szCs w:val="21"/>
                <w:highlight w:val="none"/>
              </w:rPr>
            </w:pPr>
            <w:r>
              <w:rPr>
                <w:sz w:val="21"/>
                <w:szCs w:val="21"/>
                <w:highlight w:val="none"/>
              </w:rPr>
              <w:t>所执行标准编号</w:t>
            </w:r>
          </w:p>
        </w:tc>
        <w:tc>
          <w:tcPr>
            <w:tcW w:w="3222" w:type="dxa"/>
            <w:vAlign w:val="center"/>
          </w:tcPr>
          <w:p w14:paraId="3050A99B">
            <w:pPr>
              <w:pStyle w:val="8"/>
              <w:keepNext w:val="0"/>
              <w:keepLines w:val="0"/>
              <w:pageBreakBefore w:val="0"/>
              <w:widowControl w:val="0"/>
              <w:kinsoku/>
              <w:wordWrap/>
              <w:overflowPunct/>
              <w:topLinePunct w:val="0"/>
              <w:autoSpaceDE w:val="0"/>
              <w:autoSpaceDN w:val="0"/>
              <w:bidi w:val="0"/>
              <w:adjustRightInd/>
              <w:snapToGrid/>
              <w:spacing w:before="60" w:line="400" w:lineRule="exact"/>
              <w:jc w:val="center"/>
              <w:textAlignment w:val="auto"/>
              <w:outlineLvl w:val="9"/>
              <w:rPr>
                <w:sz w:val="21"/>
                <w:szCs w:val="21"/>
                <w:highlight w:val="none"/>
              </w:rPr>
            </w:pPr>
            <w:r>
              <w:rPr>
                <w:sz w:val="21"/>
                <w:szCs w:val="21"/>
                <w:highlight w:val="none"/>
              </w:rPr>
              <w:t>所执行标准名称</w:t>
            </w:r>
          </w:p>
        </w:tc>
        <w:tc>
          <w:tcPr>
            <w:tcW w:w="1089" w:type="dxa"/>
            <w:vAlign w:val="center"/>
          </w:tcPr>
          <w:p w14:paraId="1E651DA5">
            <w:pPr>
              <w:pStyle w:val="8"/>
              <w:keepNext w:val="0"/>
              <w:keepLines w:val="0"/>
              <w:pageBreakBefore w:val="0"/>
              <w:widowControl w:val="0"/>
              <w:kinsoku/>
              <w:wordWrap/>
              <w:overflowPunct/>
              <w:topLinePunct w:val="0"/>
              <w:autoSpaceDE w:val="0"/>
              <w:autoSpaceDN w:val="0"/>
              <w:bidi w:val="0"/>
              <w:adjustRightInd/>
              <w:snapToGrid/>
              <w:spacing w:before="60" w:line="400" w:lineRule="exact"/>
              <w:ind w:left="55"/>
              <w:jc w:val="center"/>
              <w:textAlignment w:val="auto"/>
              <w:outlineLvl w:val="9"/>
              <w:rPr>
                <w:sz w:val="21"/>
                <w:szCs w:val="21"/>
                <w:highlight w:val="none"/>
              </w:rPr>
            </w:pPr>
            <w:r>
              <w:rPr>
                <w:sz w:val="21"/>
                <w:szCs w:val="21"/>
                <w:highlight w:val="none"/>
              </w:rPr>
              <w:t>是否达标</w:t>
            </w:r>
          </w:p>
        </w:tc>
        <w:tc>
          <w:tcPr>
            <w:tcW w:w="4056" w:type="dxa"/>
            <w:vAlign w:val="center"/>
          </w:tcPr>
          <w:p w14:paraId="016BB0EF">
            <w:pPr>
              <w:pStyle w:val="8"/>
              <w:keepNext w:val="0"/>
              <w:keepLines w:val="0"/>
              <w:pageBreakBefore w:val="0"/>
              <w:widowControl w:val="0"/>
              <w:kinsoku/>
              <w:wordWrap/>
              <w:overflowPunct/>
              <w:topLinePunct w:val="0"/>
              <w:autoSpaceDE w:val="0"/>
              <w:autoSpaceDN w:val="0"/>
              <w:bidi w:val="0"/>
              <w:adjustRightInd/>
              <w:snapToGrid/>
              <w:spacing w:before="55" w:line="400" w:lineRule="exact"/>
              <w:ind w:left="60" w:right="55"/>
              <w:jc w:val="center"/>
              <w:textAlignment w:val="auto"/>
              <w:outlineLvl w:val="9"/>
              <w:rPr>
                <w:sz w:val="21"/>
                <w:szCs w:val="21"/>
                <w:highlight w:val="none"/>
              </w:rPr>
            </w:pPr>
            <w:r>
              <w:rPr>
                <w:sz w:val="21"/>
                <w:szCs w:val="21"/>
                <w:highlight w:val="none"/>
              </w:rPr>
              <w:t>功能指标和性能指标</w:t>
            </w:r>
          </w:p>
        </w:tc>
        <w:tc>
          <w:tcPr>
            <w:tcW w:w="588" w:type="dxa"/>
            <w:vAlign w:val="center"/>
          </w:tcPr>
          <w:p w14:paraId="74CDEF6E">
            <w:pPr>
              <w:pStyle w:val="8"/>
              <w:keepNext w:val="0"/>
              <w:keepLines w:val="0"/>
              <w:pageBreakBefore w:val="0"/>
              <w:widowControl w:val="0"/>
              <w:kinsoku/>
              <w:wordWrap/>
              <w:overflowPunct/>
              <w:topLinePunct w:val="0"/>
              <w:autoSpaceDE w:val="0"/>
              <w:autoSpaceDN w:val="0"/>
              <w:bidi w:val="0"/>
              <w:adjustRightInd/>
              <w:snapToGrid/>
              <w:spacing w:before="55" w:line="400" w:lineRule="exact"/>
              <w:ind w:left="209" w:leftChars="95" w:right="1734" w:firstLine="0" w:firstLineChars="0"/>
              <w:jc w:val="center"/>
              <w:textAlignment w:val="auto"/>
              <w:outlineLvl w:val="9"/>
              <w:rPr>
                <w:rFonts w:hint="eastAsia" w:eastAsia="宋体"/>
                <w:sz w:val="21"/>
                <w:szCs w:val="21"/>
                <w:highlight w:val="none"/>
                <w:lang w:val="en-US" w:eastAsia="zh-CN"/>
              </w:rPr>
            </w:pPr>
            <w:r>
              <w:rPr>
                <w:rFonts w:hint="eastAsia"/>
                <w:sz w:val="21"/>
                <w:szCs w:val="21"/>
                <w:highlight w:val="none"/>
                <w:lang w:val="en-US" w:eastAsia="zh-CN"/>
              </w:rPr>
              <w:t>备注</w:t>
            </w:r>
          </w:p>
        </w:tc>
      </w:tr>
      <w:tr w14:paraId="7A942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518" w:type="dxa"/>
            <w:vMerge w:val="restart"/>
            <w:vAlign w:val="center"/>
          </w:tcPr>
          <w:p w14:paraId="03725D83">
            <w:pPr>
              <w:pStyle w:val="8"/>
              <w:keepNext w:val="0"/>
              <w:keepLines w:val="0"/>
              <w:pageBreakBefore w:val="0"/>
              <w:widowControl w:val="0"/>
              <w:kinsoku/>
              <w:wordWrap/>
              <w:overflowPunct/>
              <w:topLinePunct w:val="0"/>
              <w:autoSpaceDE w:val="0"/>
              <w:autoSpaceDN w:val="0"/>
              <w:bidi w:val="0"/>
              <w:adjustRightInd/>
              <w:snapToGrid/>
              <w:spacing w:before="218" w:line="440" w:lineRule="exact"/>
              <w:ind w:right="79"/>
              <w:jc w:val="center"/>
              <w:textAlignment w:val="auto"/>
              <w:outlineLvl w:val="9"/>
              <w:rPr>
                <w:rFonts w:hint="eastAsia" w:eastAsia="宋体"/>
                <w:sz w:val="21"/>
                <w:szCs w:val="21"/>
                <w:highlight w:val="none"/>
                <w:lang w:val="en-US" w:eastAsia="zh-CN"/>
              </w:rPr>
            </w:pPr>
            <w:r>
              <w:rPr>
                <w:rFonts w:hint="eastAsia"/>
                <w:sz w:val="21"/>
                <w:szCs w:val="21"/>
                <w:highlight w:val="none"/>
                <w:lang w:val="en-US" w:eastAsia="zh-CN"/>
              </w:rPr>
              <w:t>1</w:t>
            </w:r>
          </w:p>
        </w:tc>
        <w:tc>
          <w:tcPr>
            <w:tcW w:w="1875" w:type="dxa"/>
            <w:vMerge w:val="restart"/>
            <w:vAlign w:val="center"/>
          </w:tcPr>
          <w:p w14:paraId="2A0F04B7">
            <w:pPr>
              <w:pStyle w:val="8"/>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outlineLvl w:val="9"/>
              <w:rPr>
                <w:rFonts w:hint="eastAsia"/>
                <w:sz w:val="21"/>
                <w:szCs w:val="21"/>
                <w:highlight w:val="none"/>
              </w:rPr>
            </w:pPr>
            <w:r>
              <w:rPr>
                <w:rFonts w:hint="eastAsia"/>
                <w:sz w:val="21"/>
                <w:szCs w:val="21"/>
                <w:highlight w:val="none"/>
                <w:lang w:val="en-US" w:eastAsia="zh-CN"/>
              </w:rPr>
              <w:t>银行营业网点服务</w:t>
            </w:r>
          </w:p>
        </w:tc>
        <w:tc>
          <w:tcPr>
            <w:tcW w:w="1731" w:type="dxa"/>
            <w:vAlign w:val="center"/>
          </w:tcPr>
          <w:p w14:paraId="515700B2">
            <w:pPr>
              <w:pStyle w:val="8"/>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outlineLvl w:val="9"/>
              <w:rPr>
                <w:rFonts w:hint="default"/>
                <w:sz w:val="21"/>
                <w:szCs w:val="21"/>
                <w:highlight w:val="none"/>
                <w:lang w:val="en-US"/>
              </w:rPr>
            </w:pPr>
            <w:r>
              <w:rPr>
                <w:rFonts w:hint="default"/>
                <w:sz w:val="21"/>
                <w:szCs w:val="21"/>
                <w:highlight w:val="none"/>
                <w:lang w:val="en-US"/>
              </w:rPr>
              <w:t>Q/CTNX 001-2024</w:t>
            </w:r>
          </w:p>
        </w:tc>
        <w:tc>
          <w:tcPr>
            <w:tcW w:w="3222" w:type="dxa"/>
            <w:vAlign w:val="center"/>
          </w:tcPr>
          <w:p w14:paraId="43B4230D">
            <w:pPr>
              <w:pStyle w:val="8"/>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outlineLvl w:val="9"/>
              <w:rPr>
                <w:rFonts w:hint="eastAsia"/>
                <w:sz w:val="21"/>
                <w:szCs w:val="21"/>
                <w:highlight w:val="none"/>
                <w:lang w:val="en-US" w:eastAsia="zh-CN"/>
              </w:rPr>
            </w:pPr>
            <w:r>
              <w:rPr>
                <w:rFonts w:hint="eastAsia"/>
                <w:sz w:val="21"/>
                <w:szCs w:val="21"/>
                <w:highlight w:val="none"/>
                <w:lang w:val="en-US" w:eastAsia="zh-CN"/>
              </w:rPr>
              <w:t>行业文明服务规范</w:t>
            </w:r>
          </w:p>
        </w:tc>
        <w:tc>
          <w:tcPr>
            <w:tcW w:w="1089" w:type="dxa"/>
            <w:vAlign w:val="center"/>
          </w:tcPr>
          <w:p w14:paraId="27CFF241">
            <w:pPr>
              <w:pStyle w:val="8"/>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outlineLvl w:val="9"/>
              <w:rPr>
                <w:rFonts w:hint="default" w:ascii="Times New Roman"/>
                <w:sz w:val="21"/>
                <w:szCs w:val="21"/>
                <w:highlight w:val="none"/>
                <w:lang w:val="en-US" w:eastAsia="zh-CN"/>
              </w:rPr>
            </w:pPr>
            <w:r>
              <w:rPr>
                <w:rFonts w:hint="eastAsia" w:ascii="Times New Roman"/>
                <w:sz w:val="21"/>
                <w:szCs w:val="21"/>
                <w:highlight w:val="none"/>
                <w:lang w:val="en-US" w:eastAsia="zh-CN"/>
              </w:rPr>
              <w:t>是</w:t>
            </w:r>
          </w:p>
        </w:tc>
        <w:tc>
          <w:tcPr>
            <w:tcW w:w="4056" w:type="dxa"/>
            <w:vAlign w:val="center"/>
          </w:tcPr>
          <w:p w14:paraId="26E70D49">
            <w:pPr>
              <w:pStyle w:val="8"/>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outlineLvl w:val="9"/>
              <w:rPr>
                <w:rFonts w:ascii="Times New Roman"/>
                <w:sz w:val="21"/>
                <w:szCs w:val="21"/>
                <w:highlight w:val="none"/>
              </w:rPr>
            </w:pPr>
            <w:r>
              <w:rPr>
                <w:rFonts w:ascii="Times New Roman"/>
                <w:sz w:val="21"/>
                <w:szCs w:val="21"/>
              </w:rPr>
              <w:t>https://www.qybz.org.cn/user/detail/944bf903a1914b54a184d4baf94b77c0191fe42fa9cd3cd6cacae8725b1f86e31667e8270e92630f8ddeed1ee4fdb693</w:t>
            </w:r>
          </w:p>
        </w:tc>
        <w:tc>
          <w:tcPr>
            <w:tcW w:w="588" w:type="dxa"/>
            <w:vAlign w:val="center"/>
          </w:tcPr>
          <w:p w14:paraId="08241491">
            <w:pPr>
              <w:pStyle w:val="8"/>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outlineLvl w:val="9"/>
              <w:rPr>
                <w:rFonts w:ascii="Times New Roman"/>
                <w:sz w:val="21"/>
                <w:szCs w:val="21"/>
                <w:highlight w:val="none"/>
              </w:rPr>
            </w:pPr>
          </w:p>
        </w:tc>
      </w:tr>
      <w:tr w14:paraId="7854EA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518" w:type="dxa"/>
            <w:vMerge w:val="continue"/>
            <w:vAlign w:val="center"/>
          </w:tcPr>
          <w:p w14:paraId="6238BFA0">
            <w:pPr>
              <w:pStyle w:val="8"/>
              <w:keepNext w:val="0"/>
              <w:keepLines w:val="0"/>
              <w:pageBreakBefore w:val="0"/>
              <w:widowControl w:val="0"/>
              <w:kinsoku/>
              <w:wordWrap/>
              <w:overflowPunct/>
              <w:topLinePunct w:val="0"/>
              <w:autoSpaceDE w:val="0"/>
              <w:autoSpaceDN w:val="0"/>
              <w:bidi w:val="0"/>
              <w:adjustRightInd/>
              <w:snapToGrid/>
              <w:spacing w:before="218" w:line="440" w:lineRule="exact"/>
              <w:ind w:right="79"/>
              <w:jc w:val="center"/>
              <w:textAlignment w:val="auto"/>
              <w:outlineLvl w:val="9"/>
              <w:rPr>
                <w:sz w:val="21"/>
                <w:szCs w:val="21"/>
                <w:highlight w:val="none"/>
              </w:rPr>
            </w:pPr>
          </w:p>
        </w:tc>
        <w:tc>
          <w:tcPr>
            <w:tcW w:w="1875" w:type="dxa"/>
            <w:vMerge w:val="continue"/>
            <w:vAlign w:val="center"/>
          </w:tcPr>
          <w:p w14:paraId="6723BA2D">
            <w:pPr>
              <w:pStyle w:val="8"/>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outlineLvl w:val="9"/>
              <w:rPr>
                <w:rFonts w:hint="eastAsia"/>
                <w:sz w:val="21"/>
                <w:szCs w:val="21"/>
                <w:highlight w:val="none"/>
              </w:rPr>
            </w:pPr>
          </w:p>
        </w:tc>
        <w:tc>
          <w:tcPr>
            <w:tcW w:w="1731" w:type="dxa"/>
            <w:vAlign w:val="center"/>
          </w:tcPr>
          <w:p w14:paraId="5FC0EF06">
            <w:pPr>
              <w:pStyle w:val="8"/>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outlineLvl w:val="9"/>
              <w:rPr>
                <w:rFonts w:hint="default"/>
                <w:sz w:val="21"/>
                <w:szCs w:val="21"/>
                <w:highlight w:val="none"/>
                <w:lang w:val="en-US"/>
              </w:rPr>
            </w:pPr>
            <w:r>
              <w:rPr>
                <w:rFonts w:hint="default" w:eastAsia="宋体"/>
                <w:sz w:val="21"/>
                <w:szCs w:val="21"/>
                <w:highlight w:val="none"/>
                <w:lang w:val="en-US" w:eastAsia="zh-CN"/>
              </w:rPr>
              <w:t>Q/CTNX 002-2024</w:t>
            </w:r>
          </w:p>
        </w:tc>
        <w:tc>
          <w:tcPr>
            <w:tcW w:w="3222" w:type="dxa"/>
            <w:vAlign w:val="center"/>
          </w:tcPr>
          <w:p w14:paraId="49A176E3">
            <w:pPr>
              <w:pStyle w:val="8"/>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outlineLvl w:val="9"/>
              <w:rPr>
                <w:rFonts w:hint="default" w:eastAsia="宋体"/>
                <w:sz w:val="21"/>
                <w:szCs w:val="21"/>
                <w:highlight w:val="none"/>
                <w:lang w:val="en-US" w:eastAsia="zh-CN"/>
              </w:rPr>
            </w:pPr>
            <w:r>
              <w:rPr>
                <w:rFonts w:hint="default" w:eastAsia="宋体"/>
                <w:sz w:val="21"/>
                <w:szCs w:val="21"/>
                <w:highlight w:val="none"/>
                <w:lang w:val="en-US" w:eastAsia="zh-CN"/>
              </w:rPr>
              <w:t>个人人民币结算账户开户服务规范</w:t>
            </w:r>
          </w:p>
        </w:tc>
        <w:tc>
          <w:tcPr>
            <w:tcW w:w="1089" w:type="dxa"/>
            <w:vAlign w:val="center"/>
          </w:tcPr>
          <w:p w14:paraId="4675767A">
            <w:pPr>
              <w:pStyle w:val="8"/>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outlineLvl w:val="9"/>
              <w:rPr>
                <w:rFonts w:hint="default" w:ascii="Times New Roman"/>
                <w:sz w:val="21"/>
                <w:szCs w:val="21"/>
                <w:highlight w:val="none"/>
                <w:lang w:val="en-US" w:eastAsia="zh-CN"/>
              </w:rPr>
            </w:pPr>
            <w:r>
              <w:rPr>
                <w:rFonts w:hint="eastAsia" w:ascii="Times New Roman"/>
                <w:sz w:val="21"/>
                <w:szCs w:val="21"/>
                <w:highlight w:val="none"/>
                <w:lang w:val="en-US" w:eastAsia="zh-CN"/>
              </w:rPr>
              <w:t>是</w:t>
            </w:r>
          </w:p>
        </w:tc>
        <w:tc>
          <w:tcPr>
            <w:tcW w:w="4056" w:type="dxa"/>
            <w:vAlign w:val="center"/>
          </w:tcPr>
          <w:p w14:paraId="252910A9">
            <w:pPr>
              <w:pStyle w:val="8"/>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outlineLvl w:val="9"/>
              <w:rPr>
                <w:rFonts w:ascii="Times New Roman"/>
                <w:sz w:val="21"/>
                <w:szCs w:val="21"/>
                <w:highlight w:val="none"/>
              </w:rPr>
            </w:pPr>
            <w:r>
              <w:rPr>
                <w:rFonts w:ascii="Times New Roman"/>
                <w:sz w:val="21"/>
                <w:szCs w:val="21"/>
              </w:rPr>
              <w:t>https://www.qybz.org.cn/user/detail/9b8ca8f4eda4ee136373db93902d882fe5a935ff46438e1fc54dcd70e2f9aa041667e8270e92630f8ddeed1ee4fdb693</w:t>
            </w:r>
          </w:p>
        </w:tc>
        <w:tc>
          <w:tcPr>
            <w:tcW w:w="588" w:type="dxa"/>
            <w:vAlign w:val="center"/>
          </w:tcPr>
          <w:p w14:paraId="0CCB54C8">
            <w:pPr>
              <w:pStyle w:val="8"/>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outlineLvl w:val="9"/>
              <w:rPr>
                <w:rFonts w:ascii="Times New Roman"/>
                <w:sz w:val="21"/>
                <w:szCs w:val="21"/>
                <w:highlight w:val="none"/>
              </w:rPr>
            </w:pPr>
          </w:p>
        </w:tc>
      </w:tr>
      <w:tr w14:paraId="55A04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518" w:type="dxa"/>
            <w:vMerge w:val="continue"/>
            <w:vAlign w:val="center"/>
          </w:tcPr>
          <w:p w14:paraId="182B9143">
            <w:pPr>
              <w:pStyle w:val="8"/>
              <w:keepNext w:val="0"/>
              <w:keepLines w:val="0"/>
              <w:pageBreakBefore w:val="0"/>
              <w:widowControl w:val="0"/>
              <w:kinsoku/>
              <w:wordWrap/>
              <w:overflowPunct/>
              <w:topLinePunct w:val="0"/>
              <w:autoSpaceDE w:val="0"/>
              <w:autoSpaceDN w:val="0"/>
              <w:bidi w:val="0"/>
              <w:adjustRightInd/>
              <w:snapToGrid/>
              <w:spacing w:before="218" w:line="440" w:lineRule="exact"/>
              <w:ind w:right="79"/>
              <w:jc w:val="center"/>
              <w:textAlignment w:val="auto"/>
              <w:outlineLvl w:val="9"/>
              <w:rPr>
                <w:sz w:val="21"/>
                <w:szCs w:val="21"/>
                <w:highlight w:val="none"/>
              </w:rPr>
            </w:pPr>
          </w:p>
        </w:tc>
        <w:tc>
          <w:tcPr>
            <w:tcW w:w="1875" w:type="dxa"/>
            <w:vMerge w:val="continue"/>
            <w:vAlign w:val="center"/>
          </w:tcPr>
          <w:p w14:paraId="732AF9AC">
            <w:pPr>
              <w:pStyle w:val="8"/>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outlineLvl w:val="9"/>
              <w:rPr>
                <w:rFonts w:hint="eastAsia"/>
                <w:sz w:val="21"/>
                <w:szCs w:val="21"/>
                <w:highlight w:val="none"/>
              </w:rPr>
            </w:pPr>
          </w:p>
        </w:tc>
        <w:tc>
          <w:tcPr>
            <w:tcW w:w="1731" w:type="dxa"/>
            <w:vAlign w:val="center"/>
          </w:tcPr>
          <w:p w14:paraId="1DFA352D">
            <w:pPr>
              <w:pStyle w:val="8"/>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outlineLvl w:val="9"/>
              <w:rPr>
                <w:rFonts w:hint="default" w:eastAsia="宋体"/>
                <w:sz w:val="21"/>
                <w:szCs w:val="21"/>
                <w:highlight w:val="none"/>
                <w:lang w:val="en-US" w:eastAsia="zh-CN"/>
              </w:rPr>
            </w:pPr>
            <w:r>
              <w:rPr>
                <w:rFonts w:hint="default" w:eastAsia="宋体"/>
                <w:sz w:val="21"/>
                <w:szCs w:val="21"/>
                <w:highlight w:val="none"/>
                <w:lang w:val="en-US" w:eastAsia="zh-CN"/>
              </w:rPr>
              <w:t>Q/CTNX 00</w:t>
            </w:r>
            <w:r>
              <w:rPr>
                <w:rFonts w:hint="eastAsia"/>
                <w:sz w:val="21"/>
                <w:szCs w:val="21"/>
                <w:highlight w:val="none"/>
                <w:lang w:val="en-US" w:eastAsia="zh-CN"/>
              </w:rPr>
              <w:t>1</w:t>
            </w:r>
            <w:r>
              <w:rPr>
                <w:rFonts w:hint="default" w:eastAsia="宋体"/>
                <w:sz w:val="21"/>
                <w:szCs w:val="21"/>
                <w:highlight w:val="none"/>
                <w:lang w:val="en-US" w:eastAsia="zh-CN"/>
              </w:rPr>
              <w:t>-202</w:t>
            </w:r>
            <w:r>
              <w:rPr>
                <w:rFonts w:hint="eastAsia"/>
                <w:sz w:val="21"/>
                <w:szCs w:val="21"/>
                <w:highlight w:val="none"/>
                <w:lang w:val="en-US" w:eastAsia="zh-CN"/>
              </w:rPr>
              <w:t>5</w:t>
            </w:r>
          </w:p>
        </w:tc>
        <w:tc>
          <w:tcPr>
            <w:tcW w:w="3222" w:type="dxa"/>
            <w:vAlign w:val="center"/>
          </w:tcPr>
          <w:p w14:paraId="65A6E4F0">
            <w:pPr>
              <w:pStyle w:val="8"/>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outlineLvl w:val="9"/>
              <w:rPr>
                <w:rFonts w:hint="default" w:eastAsia="宋体"/>
                <w:sz w:val="21"/>
                <w:szCs w:val="21"/>
                <w:highlight w:val="none"/>
                <w:lang w:val="en-US" w:eastAsia="zh-CN"/>
              </w:rPr>
            </w:pPr>
            <w:r>
              <w:rPr>
                <w:rFonts w:hint="default" w:eastAsia="宋体"/>
                <w:sz w:val="21"/>
                <w:szCs w:val="21"/>
                <w:highlight w:val="none"/>
                <w:lang w:val="en-US" w:eastAsia="zh-CN"/>
              </w:rPr>
              <w:t>银行营业网点服务基本要求</w:t>
            </w:r>
          </w:p>
        </w:tc>
        <w:tc>
          <w:tcPr>
            <w:tcW w:w="1089" w:type="dxa"/>
            <w:vAlign w:val="center"/>
          </w:tcPr>
          <w:p w14:paraId="7876EA25">
            <w:pPr>
              <w:pStyle w:val="8"/>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outlineLvl w:val="9"/>
              <w:rPr>
                <w:rFonts w:hint="default" w:ascii="Times New Roman"/>
                <w:sz w:val="21"/>
                <w:szCs w:val="21"/>
                <w:highlight w:val="none"/>
                <w:lang w:val="en-US" w:eastAsia="zh-CN"/>
              </w:rPr>
            </w:pPr>
            <w:r>
              <w:rPr>
                <w:rFonts w:hint="eastAsia" w:ascii="Times New Roman"/>
                <w:sz w:val="21"/>
                <w:szCs w:val="21"/>
                <w:highlight w:val="none"/>
                <w:lang w:val="en-US" w:eastAsia="zh-CN"/>
              </w:rPr>
              <w:t>是</w:t>
            </w:r>
          </w:p>
        </w:tc>
        <w:tc>
          <w:tcPr>
            <w:tcW w:w="4056" w:type="dxa"/>
            <w:vAlign w:val="center"/>
          </w:tcPr>
          <w:p w14:paraId="397919FB">
            <w:pPr>
              <w:pStyle w:val="8"/>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outlineLvl w:val="9"/>
              <w:rPr>
                <w:rFonts w:ascii="Times New Roman"/>
                <w:sz w:val="21"/>
                <w:szCs w:val="21"/>
                <w:highlight w:val="none"/>
              </w:rPr>
            </w:pPr>
            <w:r>
              <w:rPr>
                <w:rFonts w:hint="eastAsia" w:ascii="Times New Roman"/>
                <w:sz w:val="21"/>
                <w:szCs w:val="21"/>
                <w:highlight w:val="none"/>
              </w:rPr>
              <w:t>https://www.qybz.org.cn/user/detail/bf727f77b3633635cd609656f0315ed5deb48636d58ca45fd3eef9498d3a35921667e8270e92630f8ddeed1ee4fdb693</w:t>
            </w:r>
          </w:p>
        </w:tc>
        <w:tc>
          <w:tcPr>
            <w:tcW w:w="588" w:type="dxa"/>
            <w:vAlign w:val="center"/>
          </w:tcPr>
          <w:p w14:paraId="273653E6">
            <w:pPr>
              <w:pStyle w:val="8"/>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outlineLvl w:val="9"/>
              <w:rPr>
                <w:rFonts w:ascii="Times New Roman"/>
                <w:sz w:val="21"/>
                <w:szCs w:val="21"/>
                <w:highlight w:val="none"/>
              </w:rPr>
            </w:pPr>
          </w:p>
        </w:tc>
      </w:tr>
      <w:tr w14:paraId="3CC7F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trPr>
        <w:tc>
          <w:tcPr>
            <w:tcW w:w="13079" w:type="dxa"/>
            <w:gridSpan w:val="7"/>
          </w:tcPr>
          <w:p w14:paraId="63D21FA9">
            <w:pPr>
              <w:pStyle w:val="8"/>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outlineLvl w:val="9"/>
              <w:rPr>
                <w:sz w:val="18"/>
                <w:highlight w:val="none"/>
              </w:rPr>
            </w:pPr>
            <w:r>
              <w:rPr>
                <w:sz w:val="18"/>
                <w:highlight w:val="none"/>
              </w:rPr>
              <w:t>填写说明：</w:t>
            </w:r>
          </w:p>
          <w:p w14:paraId="39FDE25F">
            <w:pPr>
              <w:pStyle w:val="8"/>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10"/>
              <w:textAlignment w:val="auto"/>
              <w:outlineLvl w:val="9"/>
              <w:rPr>
                <w:sz w:val="18"/>
                <w:highlight w:val="none"/>
              </w:rPr>
            </w:pPr>
            <w:r>
              <w:rPr>
                <w:spacing w:val="11"/>
                <w:sz w:val="18"/>
                <w:highlight w:val="none"/>
              </w:rPr>
              <w:t>功能指标性能指标内容仅当金融机构执行自行制定的企业标准时填写.具体如下：若为金融服务，列出企业标准的关键功能指标；若为金融产品，列出企业标准的关键功能</w:t>
            </w:r>
            <w:r>
              <w:rPr>
                <w:spacing w:val="10"/>
                <w:sz w:val="18"/>
                <w:highlight w:val="none"/>
              </w:rPr>
              <w:t>指标和性能指标.其中，功能指标是指产品和服务功效，性能指标是指产品在一定条件下实现功能的程度.如已在企业标准信息公共服务平台公开企业标准文本，此处可填写</w:t>
            </w:r>
            <w:r>
              <w:rPr>
                <w:sz w:val="18"/>
                <w:highlight w:val="none"/>
              </w:rPr>
              <w:t>企业标准文本链接。</w:t>
            </w:r>
          </w:p>
        </w:tc>
      </w:tr>
    </w:tbl>
    <w:p w14:paraId="50BFA9C0">
      <w:pPr>
        <w:pStyle w:val="2"/>
      </w:pPr>
    </w:p>
    <w:p w14:paraId="001A40B8">
      <w:pPr>
        <w:pStyle w:val="2"/>
      </w:pPr>
    </w:p>
    <w:p w14:paraId="45FED4EE">
      <w:pPr>
        <w:pStyle w:val="2"/>
        <w:jc w:val="center"/>
      </w:pPr>
    </w:p>
    <w:p w14:paraId="3CB616A0">
      <w:pPr>
        <w:pStyle w:val="2"/>
        <w:jc w:val="right"/>
        <w:rPr>
          <w:sz w:val="32"/>
          <w:szCs w:val="32"/>
        </w:rPr>
      </w:pPr>
    </w:p>
    <w:p w14:paraId="1EEA5842">
      <w:pPr>
        <w:pStyle w:val="2"/>
        <w:jc w:val="right"/>
        <w:rPr>
          <w:sz w:val="32"/>
          <w:szCs w:val="32"/>
        </w:rPr>
      </w:pPr>
    </w:p>
    <w:p w14:paraId="18A8FDAC">
      <w:pPr>
        <w:pStyle w:val="2"/>
        <w:jc w:val="right"/>
        <w:rPr>
          <w:sz w:val="32"/>
          <w:szCs w:val="32"/>
        </w:rPr>
      </w:pPr>
    </w:p>
    <w:p w14:paraId="0B5702B1">
      <w:pPr>
        <w:pStyle w:val="2"/>
        <w:jc w:val="right"/>
        <w:rPr>
          <w:sz w:val="32"/>
          <w:szCs w:val="32"/>
        </w:rPr>
      </w:pPr>
    </w:p>
    <w:p w14:paraId="5078ACFC">
      <w:pPr>
        <w:pStyle w:val="2"/>
        <w:jc w:val="right"/>
        <w:rPr>
          <w:sz w:val="32"/>
          <w:szCs w:val="32"/>
        </w:rPr>
      </w:pPr>
    </w:p>
    <w:p w14:paraId="52B2BD5B">
      <w:pPr>
        <w:pStyle w:val="2"/>
        <w:jc w:val="right"/>
        <w:rPr>
          <w:sz w:val="32"/>
          <w:szCs w:val="32"/>
        </w:rPr>
      </w:pPr>
    </w:p>
    <w:p w14:paraId="0402E6C3">
      <w:pPr>
        <w:pStyle w:val="2"/>
        <w:jc w:val="right"/>
        <w:rPr>
          <w:sz w:val="32"/>
          <w:szCs w:val="32"/>
        </w:rPr>
      </w:pPr>
    </w:p>
    <w:p w14:paraId="3F92D094">
      <w:pPr>
        <w:pStyle w:val="2"/>
        <w:jc w:val="right"/>
        <w:rPr>
          <w:sz w:val="32"/>
          <w:szCs w:val="32"/>
        </w:rPr>
      </w:pPr>
    </w:p>
    <w:p w14:paraId="656D42B5">
      <w:pPr>
        <w:pStyle w:val="2"/>
        <w:jc w:val="right"/>
        <w:rPr>
          <w:sz w:val="32"/>
          <w:szCs w:val="32"/>
        </w:rPr>
      </w:pPr>
    </w:p>
    <w:p w14:paraId="6A3125FB">
      <w:pPr>
        <w:pStyle w:val="2"/>
        <w:jc w:val="right"/>
        <w:rPr>
          <w:sz w:val="32"/>
          <w:szCs w:val="32"/>
        </w:rPr>
      </w:pPr>
    </w:p>
    <w:p w14:paraId="130E2DAF">
      <w:pPr>
        <w:pStyle w:val="2"/>
        <w:jc w:val="right"/>
        <w:rPr>
          <w:sz w:val="32"/>
          <w:szCs w:val="32"/>
        </w:rPr>
      </w:pPr>
    </w:p>
    <w:p w14:paraId="6160ECE1">
      <w:pPr>
        <w:pStyle w:val="2"/>
        <w:jc w:val="right"/>
        <w:rPr>
          <w:rFonts w:hint="eastAsia"/>
          <w:sz w:val="32"/>
          <w:szCs w:val="32"/>
          <w:lang w:val="en-US" w:eastAsia="zh-CN"/>
        </w:rPr>
      </w:pPr>
    </w:p>
    <w:p w14:paraId="62168029">
      <w:pPr>
        <w:pStyle w:val="2"/>
        <w:jc w:val="right"/>
        <w:rPr>
          <w:rFonts w:hint="eastAsia"/>
          <w:sz w:val="32"/>
          <w:szCs w:val="32"/>
          <w:lang w:val="en-US" w:eastAsia="zh-CN"/>
        </w:rPr>
      </w:pPr>
      <w:bookmarkStart w:id="0" w:name="_GoBack"/>
      <w:bookmarkEnd w:id="0"/>
      <w:r>
        <w:rPr>
          <w:rFonts w:hint="eastAsia"/>
          <w:sz w:val="32"/>
          <w:szCs w:val="32"/>
          <w:lang w:val="en-US" w:eastAsia="zh-CN"/>
        </w:rPr>
        <w:t>漳州市长泰区农村信用合作联社</w:t>
      </w:r>
    </w:p>
    <w:p w14:paraId="282336B0">
      <w:pPr>
        <w:pStyle w:val="2"/>
        <w:wordWrap w:val="0"/>
        <w:jc w:val="right"/>
        <w:rPr>
          <w:rFonts w:hint="default"/>
          <w:sz w:val="32"/>
          <w:szCs w:val="32"/>
          <w:lang w:val="en-US" w:eastAsia="zh-CN"/>
        </w:rPr>
      </w:pPr>
      <w:r>
        <w:rPr>
          <w:rFonts w:hint="eastAsia"/>
          <w:sz w:val="32"/>
          <w:szCs w:val="32"/>
          <w:lang w:val="en-US" w:eastAsia="zh-CN"/>
        </w:rPr>
        <w:t xml:space="preserve">2025年11月17日      </w:t>
      </w:r>
    </w:p>
    <w:sectPr>
      <w:type w:val="continuous"/>
      <w:pgSz w:w="16870" w:h="11960" w:orient="landscape"/>
      <w:pgMar w:top="1120" w:right="1100" w:bottom="280" w:left="96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
  <w:rsids>
    <w:rsidRoot w:val="00000000"/>
    <w:rsid w:val="0351007D"/>
    <w:rsid w:val="04C158E2"/>
    <w:rsid w:val="04C17E8B"/>
    <w:rsid w:val="0B350656"/>
    <w:rsid w:val="0B456169"/>
    <w:rsid w:val="0DFA10FD"/>
    <w:rsid w:val="20ED7614"/>
    <w:rsid w:val="254554E2"/>
    <w:rsid w:val="28690C21"/>
    <w:rsid w:val="2B030193"/>
    <w:rsid w:val="35957381"/>
    <w:rsid w:val="37B36F71"/>
    <w:rsid w:val="391170C9"/>
    <w:rsid w:val="3CDA66B9"/>
    <w:rsid w:val="445A1CA9"/>
    <w:rsid w:val="4C322A4A"/>
    <w:rsid w:val="509B1D7B"/>
    <w:rsid w:val="56D64F60"/>
    <w:rsid w:val="58913FBE"/>
    <w:rsid w:val="5B4D3256"/>
    <w:rsid w:val="5FD27396"/>
    <w:rsid w:val="62186F10"/>
    <w:rsid w:val="67EC1192"/>
    <w:rsid w:val="6B2D06E2"/>
    <w:rsid w:val="6BBB2241"/>
    <w:rsid w:val="6D2E7F73"/>
    <w:rsid w:val="710F728C"/>
    <w:rsid w:val="73F6144E"/>
    <w:rsid w:val="76436E63"/>
    <w:rsid w:val="7BE84A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szCs w:val="24"/>
      <w:lang w:val="en-US" w:eastAsia="zh-CN" w:bidi="ar-SA"/>
    </w:rPr>
  </w:style>
  <w:style w:type="paragraph" w:styleId="3">
    <w:name w:val="Title"/>
    <w:basedOn w:val="1"/>
    <w:qFormat/>
    <w:uiPriority w:val="1"/>
    <w:pPr>
      <w:spacing w:line="392" w:lineRule="exact"/>
      <w:ind w:left="3432"/>
    </w:pPr>
    <w:rPr>
      <w:rFonts w:ascii="宋体" w:hAnsi="宋体" w:eastAsia="宋体" w:cs="宋体"/>
      <w:sz w:val="34"/>
      <w:szCs w:val="34"/>
      <w:lang w:val="en-US" w:eastAsia="zh-CN" w:bidi="ar-SA"/>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rPr>
      <w:lang w:val="en-US" w:eastAsia="zh-CN" w:bidi="ar-SA"/>
    </w:rPr>
  </w:style>
  <w:style w:type="paragraph" w:customStyle="1" w:styleId="8">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469</Words>
  <Characters>544</Characters>
  <TotalTime>3</TotalTime>
  <ScaleCrop>false</ScaleCrop>
  <LinksUpToDate>false</LinksUpToDate>
  <CharactersWithSpaces>555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2024-10-23T12:13:00Z</dcterms:created>
  <dc:creator>zanx</dc:creator>
  <cp:lastModifiedBy>岁月痕迹</cp:lastModifiedBy>
  <cp:lastPrinted>2025-11-17T08:30:00Z</cp:lastPrinted>
  <dcterms:modified xsi:type="dcterms:W3CDTF">2025-11-18T00:08:00Z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2024-02-08T00:00:00Z</vt:filetime>
  </property>
  <property fmtid="{D5CDD505-2E9C-101B-9397-08002B2CF9AE}" pid="3" name="Creator">
    <vt:lpwstr>ABBYY FineReader 14</vt:lpwstr>
  </property>
  <property fmtid="{D5CDD505-2E9C-101B-9397-08002B2CF9AE}" pid="4" name="LastSaved">
    <vt:filetime>2024-10-23T00:00:00Z</vt:filetime>
  </property>
  <property fmtid="{D5CDD505-2E9C-101B-9397-08002B2CF9AE}" pid="5" name="KSOProductBuildVer">
    <vt:lpwstr>2052-12.1.0.23125</vt:lpwstr>
  </property>
  <property fmtid="{D5CDD505-2E9C-101B-9397-08002B2CF9AE}" pid="6" name="ICV">
    <vt:lpwstr>E02F905751AA40529C3F69D2FC52960C_13</vt:lpwstr>
  </property>
  <property fmtid="{D5CDD505-2E9C-101B-9397-08002B2CF9AE}" pid="7" name="KSOTemplateDocerSaveRecord">
    <vt:lpwstr>eyJoZGlkIjoiMTY0MWI0NDQwMGE5YWMwNzY5ZWY1N2NiYjc0OWYzZDEiLCJ1c2VySWQiOiIzMDY4MTc2NTEifQ==</vt:lpwstr>
  </property>
</Properties>
</file>