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兴银理财【天天万利宝稳利净值型】理财产品</w:t>
      </w:r>
    </w:p>
    <w:p>
      <w:pPr>
        <w:widowControl/>
        <w:spacing w:line="360" w:lineRule="auto"/>
        <w:jc w:val="center"/>
        <w:rPr>
          <w:b/>
          <w:szCs w:val="21"/>
        </w:rPr>
      </w:pPr>
      <w:r>
        <w:rPr>
          <w:rFonts w:hint="eastAsia" w:ascii="黑体" w:hAnsi="黑体" w:eastAsia="黑体"/>
          <w:b/>
          <w:sz w:val="44"/>
          <w:szCs w:val="44"/>
        </w:rPr>
        <w:t>销售文件</w:t>
      </w:r>
    </w:p>
    <w:tbl>
      <w:tblPr>
        <w:tblStyle w:val="10"/>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5"/>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15"/>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15"/>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5"/>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15"/>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兴银理财【天天万利宝稳利净值型】理财产品产品说明书</w:t>
            </w:r>
          </w:p>
        </w:tc>
        <w:tc>
          <w:tcPr>
            <w:tcW w:w="2107" w:type="dxa"/>
          </w:tcPr>
          <w:p>
            <w:pPr>
              <w:pStyle w:val="15"/>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5"/>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兴银理财【天天万利宝稳利净值型】理财产品（代理）销售协议书</w:t>
            </w:r>
          </w:p>
        </w:tc>
        <w:tc>
          <w:tcPr>
            <w:tcW w:w="2107" w:type="dxa"/>
          </w:tcPr>
          <w:p>
            <w:pPr>
              <w:pStyle w:val="15"/>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5"/>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15"/>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兴银理财【天天万利宝稳利净值型】理财产品投资者权益须知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15"/>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15"/>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15"/>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15"/>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15"/>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15"/>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12"/>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12"/>
          <w:rFonts w:ascii="黑体" w:hAnsi="黑体" w:eastAsia="黑体" w:cs="宋体"/>
          <w:sz w:val="44"/>
          <w:szCs w:val="44"/>
        </w:rPr>
      </w:pPr>
      <w:r>
        <w:rPr>
          <w:rStyle w:val="12"/>
          <w:rFonts w:hint="eastAsia" w:ascii="黑体" w:hAnsi="黑体" w:eastAsia="黑体" w:cs="宋体"/>
          <w:sz w:val="44"/>
          <w:szCs w:val="44"/>
        </w:rPr>
        <w:t>兴银理财【天天万利宝稳利净值型】理财产品</w:t>
      </w:r>
    </w:p>
    <w:p>
      <w:pPr>
        <w:adjustRightInd w:val="0"/>
        <w:spacing w:line="360" w:lineRule="auto"/>
        <w:jc w:val="center"/>
        <w:rPr>
          <w:rStyle w:val="12"/>
          <w:rFonts w:ascii="黑体" w:hAnsi="黑体" w:eastAsia="黑体" w:cs="宋体"/>
          <w:sz w:val="44"/>
          <w:szCs w:val="44"/>
        </w:rPr>
      </w:pPr>
      <w:r>
        <w:rPr>
          <w:rStyle w:val="12"/>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12"/>
          <w:rFonts w:ascii="宋体" w:hAnsi="宋体"/>
          <w:sz w:val="28"/>
          <w:szCs w:val="28"/>
        </w:rPr>
      </w:pPr>
      <w:bookmarkStart w:id="0" w:name="_Toc123701383"/>
      <w:bookmarkStart w:id="1" w:name="_Toc139992301"/>
      <w:bookmarkStart w:id="2" w:name="_Toc139991726"/>
      <w:bookmarkStart w:id="3" w:name="_Toc123112224"/>
      <w:bookmarkStart w:id="4" w:name="_Toc123112263"/>
      <w:r>
        <w:rPr>
          <w:rStyle w:val="12"/>
          <w:rFonts w:hint="eastAsia" w:ascii="宋体" w:hAnsi="宋体"/>
          <w:sz w:val="28"/>
          <w:szCs w:val="28"/>
        </w:rPr>
        <w:t>理财产品管理人：</w:t>
      </w:r>
      <w:bookmarkEnd w:id="0"/>
      <w:bookmarkEnd w:id="1"/>
      <w:bookmarkEnd w:id="2"/>
      <w:bookmarkEnd w:id="3"/>
      <w:bookmarkEnd w:id="4"/>
      <w:r>
        <w:rPr>
          <w:rStyle w:val="12"/>
          <w:rFonts w:hint="eastAsia" w:ascii="宋体" w:hAnsi="宋体"/>
          <w:sz w:val="28"/>
          <w:szCs w:val="28"/>
        </w:rPr>
        <w:t>兴银理财有限责任公司</w:t>
      </w:r>
    </w:p>
    <w:p>
      <w:pPr>
        <w:adjustRightInd w:val="0"/>
        <w:spacing w:line="360" w:lineRule="auto"/>
        <w:jc w:val="center"/>
        <w:rPr>
          <w:rStyle w:val="12"/>
          <w:rFonts w:ascii="黑体" w:hAnsi="黑体" w:eastAsia="黑体" w:cs="宋体"/>
          <w:sz w:val="28"/>
          <w:szCs w:val="28"/>
        </w:rPr>
      </w:pPr>
      <w:bookmarkStart w:id="5" w:name="_Toc139991727"/>
      <w:bookmarkStart w:id="6" w:name="_Toc123701384"/>
      <w:bookmarkStart w:id="7" w:name="_Toc123112264"/>
      <w:bookmarkStart w:id="8" w:name="_Toc123112225"/>
      <w:bookmarkStart w:id="9" w:name="_Toc139992302"/>
    </w:p>
    <w:bookmarkEnd w:id="5"/>
    <w:bookmarkEnd w:id="6"/>
    <w:bookmarkEnd w:id="7"/>
    <w:bookmarkEnd w:id="8"/>
    <w:bookmarkEnd w:id="9"/>
    <w:p>
      <w:pPr>
        <w:adjustRightInd w:val="0"/>
        <w:spacing w:line="360" w:lineRule="auto"/>
        <w:jc w:val="center"/>
        <w:rPr>
          <w:rStyle w:val="12"/>
          <w:rFonts w:ascii="黑体" w:hAnsi="黑体" w:eastAsia="黑体" w:cs="宋体"/>
          <w:sz w:val="28"/>
          <w:szCs w:val="28"/>
        </w:rPr>
      </w:pPr>
    </w:p>
    <w:p>
      <w:pPr>
        <w:adjustRightInd w:val="0"/>
        <w:spacing w:line="360" w:lineRule="auto"/>
        <w:jc w:val="center"/>
        <w:rPr>
          <w:rStyle w:val="12"/>
          <w:rFonts w:ascii="宋体" w:hAnsi="宋体"/>
          <w:sz w:val="28"/>
          <w:szCs w:val="28"/>
        </w:rPr>
      </w:pPr>
      <w:r>
        <w:rPr>
          <w:rStyle w:val="12"/>
          <w:rFonts w:hint="eastAsia" w:ascii="宋体" w:hAnsi="宋体"/>
          <w:sz w:val="28"/>
          <w:szCs w:val="28"/>
        </w:rPr>
        <w:t>日期</w:t>
      </w:r>
      <w:r>
        <w:rPr>
          <w:rStyle w:val="12"/>
          <w:rFonts w:ascii="宋体" w:hAnsi="宋体"/>
          <w:sz w:val="28"/>
          <w:szCs w:val="28"/>
        </w:rPr>
        <w:t>：</w:t>
      </w:r>
      <w:r>
        <w:rPr>
          <w:rStyle w:val="12"/>
          <w:rFonts w:hint="eastAsia" w:ascii="宋体" w:hAnsi="宋体"/>
          <w:sz w:val="28"/>
          <w:szCs w:val="28"/>
        </w:rPr>
        <w:t>【202</w:t>
      </w:r>
      <w:r>
        <w:rPr>
          <w:rStyle w:val="12"/>
          <w:rFonts w:ascii="宋体" w:hAnsi="宋体"/>
          <w:sz w:val="28"/>
          <w:szCs w:val="28"/>
        </w:rPr>
        <w:t>4</w:t>
      </w:r>
      <w:r>
        <w:rPr>
          <w:rStyle w:val="12"/>
          <w:rFonts w:hint="eastAsia" w:ascii="宋体" w:hAnsi="宋体"/>
          <w:sz w:val="28"/>
          <w:szCs w:val="28"/>
        </w:rPr>
        <w:t>】年【</w:t>
      </w:r>
      <w:r>
        <w:rPr>
          <w:rStyle w:val="12"/>
          <w:rFonts w:hint="eastAsia" w:ascii="宋体" w:hAnsi="宋体"/>
          <w:sz w:val="28"/>
          <w:szCs w:val="28"/>
          <w:lang w:val="en-US" w:eastAsia="zh-CN"/>
        </w:rPr>
        <w:t>02</w:t>
      </w:r>
      <w:r>
        <w:rPr>
          <w:rStyle w:val="12"/>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8"/>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8"/>
              <w:snapToGrid w:val="0"/>
              <w:spacing w:before="0" w:beforeAutospacing="0" w:after="0" w:afterAutospacing="0"/>
              <w:jc w:val="both"/>
              <w:rPr>
                <w:rFonts w:ascii="黑体" w:hAnsi="黑体" w:eastAsia="黑体"/>
                <w:bCs/>
                <w:sz w:val="18"/>
                <w:szCs w:val="18"/>
              </w:rPr>
            </w:pPr>
          </w:p>
          <w:p>
            <w:pPr>
              <w:pStyle w:val="8"/>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27"/>
      <w:bookmarkStart w:id="11" w:name="_Toc123701386"/>
      <w:bookmarkStart w:id="12" w:name="_Toc139991729"/>
      <w:bookmarkStart w:id="13" w:name="_Toc12311226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9"/>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【兴业银行天天万利宝稳利1号净值型理财产品</w:t>
            </w:r>
            <w:r>
              <w:rPr>
                <w:rFonts w:hint="eastAsia" w:ascii="宋体" w:hAnsi="宋体"/>
                <w:bCs/>
                <w:sz w:val="18"/>
                <w:szCs w:val="18"/>
                <w:lang w:val="en-US" w:eastAsia="zh-CN"/>
              </w:rPr>
              <w:t>L</w:t>
            </w:r>
            <w:r>
              <w:rPr>
                <w:rFonts w:hint="eastAsia" w:ascii="宋体" w:hAnsi="宋体"/>
                <w:bCs/>
                <w:sz w:val="18"/>
                <w:szCs w:val="18"/>
              </w:rPr>
              <w:t>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6389" w:type="dxa"/>
            <w:gridSpan w:val="3"/>
            <w:shd w:val="solid" w:color="FFFFFF" w:fill="FFFFFF"/>
            <w:vAlign w:val="center"/>
          </w:tcPr>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sz w:val="18"/>
                <w:szCs w:val="18"/>
              </w:rPr>
              <w:t>【稳利恒盈</w:t>
            </w:r>
            <w:r>
              <w:rPr>
                <w:rFonts w:hint="eastAsia" w:ascii="宋体" w:hAnsi="宋体"/>
                <w:bCs/>
                <w:sz w:val="18"/>
                <w:szCs w:val="18"/>
                <w:lang w:val="en-US" w:eastAsia="zh-CN"/>
              </w:rPr>
              <w:t>L</w:t>
            </w:r>
            <w:r>
              <w:rPr>
                <w:rFonts w:ascii="宋体" w:hAnsi="宋体"/>
                <w:bCs/>
                <w:sz w:val="18"/>
                <w:szCs w:val="18"/>
              </w:rPr>
              <w:t xml:space="preserve"> </w:t>
            </w:r>
            <w:r>
              <w:rPr>
                <w:rFonts w:hint="eastAsia" w:ascii="宋体" w:hAnsi="宋体"/>
                <w:bCs/>
                <w:sz w:val="18"/>
                <w:szCs w:val="18"/>
              </w:rPr>
              <w:t>12个月】</w:t>
            </w:r>
            <w:r>
              <w:rPr>
                <w:rFonts w:hint="eastAsia" w:ascii="宋体" w:hAnsi="宋体"/>
                <w:bCs/>
                <w:color w:val="000000" w:themeColor="text1"/>
                <w:sz w:val="18"/>
                <w:szCs w:val="18"/>
                <w14:textFill>
                  <w14:solidFill>
                    <w14:schemeClr w14:val="tx1"/>
                  </w14:solidFill>
                </w14:textFill>
              </w:rPr>
              <w:t>（适用【A】类份额）</w:t>
            </w:r>
          </w:p>
          <w:p>
            <w:pPr>
              <w:spacing w:line="360" w:lineRule="auto"/>
              <w:jc w:val="left"/>
              <w:rPr>
                <w:rFonts w:ascii="宋体" w:hAnsi="宋体"/>
                <w:bCs/>
                <w:sz w:val="18"/>
                <w:szCs w:val="18"/>
              </w:rPr>
            </w:pPr>
            <w:r>
              <w:rPr>
                <w:rFonts w:hint="eastAsia" w:ascii="宋体" w:hAnsi="宋体"/>
                <w:bCs/>
                <w:sz w:val="18"/>
                <w:szCs w:val="18"/>
              </w:rPr>
              <w:t>【稳利恒盈</w:t>
            </w:r>
            <w:r>
              <w:rPr>
                <w:rFonts w:hint="eastAsia" w:ascii="宋体" w:hAnsi="宋体"/>
                <w:bCs/>
                <w:sz w:val="18"/>
                <w:szCs w:val="18"/>
                <w:lang w:val="en-US" w:eastAsia="zh-CN"/>
              </w:rPr>
              <w:t>L</w:t>
            </w:r>
            <w:r>
              <w:rPr>
                <w:rFonts w:hint="eastAsia" w:ascii="宋体" w:hAnsi="宋体"/>
                <w:bCs/>
                <w:sz w:val="18"/>
                <w:szCs w:val="18"/>
              </w:rPr>
              <w:t xml:space="preserve"> 12个月B】</w:t>
            </w:r>
            <w:r>
              <w:rPr>
                <w:rFonts w:hint="eastAsia" w:ascii="宋体" w:hAnsi="宋体"/>
                <w:bCs/>
                <w:color w:val="000000" w:themeColor="text1"/>
                <w:sz w:val="18"/>
                <w:szCs w:val="18"/>
                <w14:textFill>
                  <w14:solidFill>
                    <w14:schemeClr w14:val="tx1"/>
                  </w14:solidFill>
                </w14:textFill>
              </w:rPr>
              <w:t>（适用【B】类份额）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w:t>
            </w:r>
            <w:r>
              <w:rPr>
                <w:rFonts w:hint="eastAsia" w:ascii="宋体" w:hAnsi="宋体" w:eastAsia="宋体" w:cs="宋体"/>
                <w:i w:val="0"/>
                <w:iCs w:val="0"/>
                <w:caps w:val="0"/>
                <w:color w:val="333333"/>
                <w:spacing w:val="0"/>
                <w:sz w:val="18"/>
                <w:szCs w:val="18"/>
                <w:shd w:val="clear" w:fill="DFE8F6"/>
              </w:rPr>
              <w:t>Z7002020000016</w:t>
            </w:r>
            <w:r>
              <w:rPr>
                <w:rFonts w:hint="eastAsia" w:ascii="宋体" w:hAnsi="宋体"/>
                <w:bCs/>
                <w:sz w:val="18"/>
                <w:szCs w:val="18"/>
              </w:rPr>
              <w:t>】注：投资者可依据理财产品登记编码在中国理财网查询产品信息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w:t>
            </w:r>
            <w:r>
              <w:rPr>
                <w:rFonts w:hint="eastAsia" w:ascii="宋体" w:hAnsi="宋体" w:eastAsia="宋体" w:cs="宋体"/>
                <w:i w:val="0"/>
                <w:iCs w:val="0"/>
                <w:caps w:val="0"/>
                <w:color w:val="333333"/>
                <w:spacing w:val="0"/>
                <w:sz w:val="18"/>
                <w:szCs w:val="18"/>
                <w:shd w:val="clear" w:fill="DFE8F6"/>
              </w:rPr>
              <w:t>9K218030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
                <w:bCs/>
                <w:sz w:val="18"/>
                <w:szCs w:val="18"/>
              </w:rPr>
              <w:t>销售</w:t>
            </w:r>
            <w:r>
              <w:rPr>
                <w:rFonts w:ascii="宋体" w:hAnsi="宋体"/>
                <w:b/>
                <w:bCs/>
                <w:sz w:val="18"/>
                <w:szCs w:val="18"/>
              </w:rPr>
              <w:t>代码</w:t>
            </w:r>
          </w:p>
        </w:tc>
        <w:tc>
          <w:tcPr>
            <w:tcW w:w="6389"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color w:val="000000" w:themeColor="text1"/>
                <w:sz w:val="18"/>
                <w:szCs w:val="18"/>
                <w14:textFill>
                  <w14:solidFill>
                    <w14:schemeClr w14:val="tx1"/>
                  </w14:solidFill>
                </w14:textFill>
              </w:rPr>
              <w:t>【</w:t>
            </w:r>
            <w:r>
              <w:rPr>
                <w:rFonts w:hint="eastAsia" w:ascii="宋体" w:hAnsi="宋体" w:eastAsia="宋体" w:cs="宋体"/>
                <w:i w:val="0"/>
                <w:iCs w:val="0"/>
                <w:caps w:val="0"/>
                <w:color w:val="333333"/>
                <w:spacing w:val="0"/>
                <w:sz w:val="18"/>
                <w:szCs w:val="18"/>
                <w:shd w:val="clear" w:fill="DFE8F6"/>
              </w:rPr>
              <w:t>9K218030</w:t>
            </w:r>
            <w:r>
              <w:rPr>
                <w:rFonts w:hint="eastAsia" w:ascii="宋体" w:hAnsi="宋体"/>
                <w:bCs/>
                <w:sz w:val="18"/>
                <w:szCs w:val="18"/>
              </w:rPr>
              <w:t>】（适用【A】类份额）</w:t>
            </w:r>
          </w:p>
          <w:p>
            <w:pPr>
              <w:spacing w:line="320" w:lineRule="exact"/>
              <w:jc w:val="left"/>
              <w:rPr>
                <w:rFonts w:ascii="宋体" w:hAnsi="宋体"/>
                <w:bCs/>
                <w:color w:val="000000" w:themeColor="text1"/>
                <w:sz w:val="18"/>
                <w:szCs w:val="18"/>
                <w14:textFill>
                  <w14:solidFill>
                    <w14:schemeClr w14:val="tx1"/>
                  </w14:solidFill>
                </w14:textFill>
              </w:rPr>
            </w:pPr>
            <w:r>
              <w:rPr>
                <w:rFonts w:hint="eastAsia" w:ascii="宋体" w:hAnsi="宋体"/>
                <w:bCs/>
                <w:sz w:val="18"/>
                <w:szCs w:val="18"/>
              </w:rPr>
              <w:t>【</w:t>
            </w:r>
            <w:r>
              <w:rPr>
                <w:rFonts w:hint="eastAsia" w:ascii="宋体" w:hAnsi="宋体" w:eastAsia="宋体" w:cs="宋体"/>
                <w:i w:val="0"/>
                <w:iCs w:val="0"/>
                <w:caps w:val="0"/>
                <w:color w:val="333333"/>
                <w:spacing w:val="0"/>
                <w:sz w:val="18"/>
                <w:szCs w:val="18"/>
                <w:shd w:val="clear" w:fill="DFE8F6"/>
              </w:rPr>
              <w:t>9K218</w:t>
            </w:r>
            <w:r>
              <w:rPr>
                <w:rFonts w:hint="eastAsia" w:ascii="宋体" w:hAnsi="宋体" w:cs="宋体"/>
                <w:i w:val="0"/>
                <w:iCs w:val="0"/>
                <w:caps w:val="0"/>
                <w:color w:val="333333"/>
                <w:spacing w:val="0"/>
                <w:sz w:val="18"/>
                <w:szCs w:val="18"/>
                <w:shd w:val="clear" w:fill="DFE8F6"/>
                <w:lang w:val="en-US" w:eastAsia="zh-CN"/>
              </w:rPr>
              <w:t>1</w:t>
            </w:r>
            <w:r>
              <w:rPr>
                <w:rFonts w:hint="eastAsia" w:ascii="宋体" w:hAnsi="宋体" w:eastAsia="宋体" w:cs="宋体"/>
                <w:i w:val="0"/>
                <w:iCs w:val="0"/>
                <w:caps w:val="0"/>
                <w:color w:val="333333"/>
                <w:spacing w:val="0"/>
                <w:sz w:val="18"/>
                <w:szCs w:val="18"/>
                <w:shd w:val="clear" w:fill="DFE8F6"/>
              </w:rPr>
              <w:t>30</w:t>
            </w:r>
            <w:r>
              <w:rPr>
                <w:rFonts w:hint="eastAsia" w:ascii="宋体" w:hAnsi="宋体"/>
                <w:bCs/>
                <w:sz w:val="18"/>
                <w:szCs w:val="18"/>
              </w:rPr>
              <w:t>】（适用【</w:t>
            </w:r>
            <w:r>
              <w:rPr>
                <w:rFonts w:ascii="宋体" w:hAnsi="宋体"/>
                <w:bCs/>
                <w:sz w:val="18"/>
                <w:szCs w:val="18"/>
              </w:rPr>
              <w:t>B</w:t>
            </w:r>
            <w:r>
              <w:rPr>
                <w:rFonts w:hint="eastAsia" w:ascii="宋体" w:hAnsi="宋体"/>
                <w:bCs/>
                <w:sz w:val="18"/>
                <w:szCs w:val="18"/>
              </w:rPr>
              <w:t>】类</w:t>
            </w:r>
            <w:r>
              <w:rPr>
                <w:rFonts w:hint="eastAsia" w:ascii="宋体" w:hAnsi="宋体"/>
                <w:bCs/>
                <w:color w:val="000000" w:themeColor="text1"/>
                <w:sz w:val="18"/>
                <w:szCs w:val="18"/>
                <w14:textFill>
                  <w14:solidFill>
                    <w14:schemeClr w14:val="tx1"/>
                  </w14:solidFill>
                </w14:textFill>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16"/>
            <w:spacing w:line="360" w:lineRule="auto"/>
            <w:jc w:val="center"/>
          </w:pPr>
          <w:r>
            <w:rPr>
              <w:lang w:val="zh-CN"/>
            </w:rPr>
            <w:t>目录</w:t>
          </w:r>
        </w:p>
        <w:p>
          <w:pPr>
            <w:pStyle w:val="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6"/>
            <w:tabs>
              <w:tab w:val="right" w:leader="dot" w:pos="8306"/>
              <w:tab w:val="clear" w:pos="8296"/>
            </w:tabs>
          </w:pPr>
          <w:r>
            <w:fldChar w:fldCharType="begin"/>
          </w:r>
          <w:r>
            <w:instrText xml:space="preserve"> HYPERLINK \l "_Toc12429" </w:instrText>
          </w:r>
          <w:r>
            <w:fldChar w:fldCharType="separate"/>
          </w:r>
          <w:r>
            <w:t>第</w:t>
          </w:r>
          <w:r>
            <w:rPr>
              <w:rFonts w:hint="eastAsia"/>
            </w:rPr>
            <w:t xml:space="preserve">二条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r>
            <w:fldChar w:fldCharType="end"/>
          </w:r>
        </w:p>
        <w:p>
          <w:pPr>
            <w:pStyle w:val="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不可抗力</w:t>
          </w:r>
          <w:r>
            <w:tab/>
          </w:r>
          <w:r>
            <w:fldChar w:fldCharType="begin"/>
          </w:r>
          <w:r>
            <w:instrText xml:space="preserve"> PAGEREF _Toc706 \h </w:instrText>
          </w:r>
          <w:r>
            <w:fldChar w:fldCharType="separate"/>
          </w:r>
          <w:r>
            <w:t>10</w:t>
          </w:r>
          <w:r>
            <w:fldChar w:fldCharType="end"/>
          </w:r>
          <w:r>
            <w:fldChar w:fldCharType="end"/>
          </w:r>
        </w:p>
        <w:p>
          <w:pPr>
            <w:pStyle w:val="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法律适用和争议解决</w:t>
          </w:r>
          <w:r>
            <w:tab/>
          </w:r>
          <w:r>
            <w:fldChar w:fldCharType="begin"/>
          </w:r>
          <w:r>
            <w:instrText xml:space="preserve"> PAGEREF _Toc29618 \h </w:instrText>
          </w:r>
          <w:r>
            <w:fldChar w:fldCharType="separate"/>
          </w:r>
          <w:r>
            <w:t>12</w:t>
          </w:r>
          <w:r>
            <w:fldChar w:fldCharType="end"/>
          </w:r>
          <w:r>
            <w:fldChar w:fldCharType="end"/>
          </w:r>
        </w:p>
        <w:p>
          <w:pPr>
            <w:pStyle w:val="6"/>
            <w:tabs>
              <w:tab w:val="right" w:leader="dot" w:pos="8306"/>
              <w:tab w:val="clear" w:pos="8296"/>
            </w:tabs>
          </w:pPr>
          <w:r>
            <w:fldChar w:fldCharType="begin"/>
          </w:r>
          <w:r>
            <w:instrText xml:space="preserve"> HYPERLINK \l "_Toc11943" </w:instrText>
          </w:r>
          <w:r>
            <w:fldChar w:fldCharType="separate"/>
          </w:r>
          <w:r>
            <w:rPr>
              <w:rFonts w:hint="eastAsia"/>
            </w:rPr>
            <w:t xml:space="preserve">第六条 </w:t>
          </w:r>
          <w:r>
            <w:t xml:space="preserve"> 协议的签署和</w:t>
          </w:r>
          <w:r>
            <w:rPr>
              <w:rFonts w:hint="eastAsia"/>
            </w:rPr>
            <w:t>效力</w:t>
          </w:r>
          <w:r>
            <w:tab/>
          </w:r>
          <w:r>
            <w:fldChar w:fldCharType="begin"/>
          </w:r>
          <w:r>
            <w:instrText xml:space="preserve"> PAGEREF _Toc11943 \h </w:instrText>
          </w:r>
          <w:r>
            <w:fldChar w:fldCharType="separate"/>
          </w:r>
          <w:r>
            <w:t>13</w:t>
          </w:r>
          <w:r>
            <w:fldChar w:fldCharType="end"/>
          </w:r>
          <w:r>
            <w:fldChar w:fldCharType="end"/>
          </w:r>
        </w:p>
        <w:p>
          <w:pPr>
            <w:pStyle w:val="6"/>
            <w:tabs>
              <w:tab w:val="right" w:leader="dot" w:pos="8306"/>
              <w:tab w:val="clear" w:pos="8296"/>
            </w:tabs>
          </w:pPr>
          <w:r>
            <w:fldChar w:fldCharType="begin"/>
          </w:r>
          <w:r>
            <w:instrText xml:space="preserve"> HYPERLINK \l "_Toc29352" </w:instrText>
          </w:r>
          <w:r>
            <w:fldChar w:fldCharType="separate"/>
          </w:r>
          <w:r>
            <w:rPr>
              <w:rFonts w:hint="eastAsia"/>
            </w:rPr>
            <w:t xml:space="preserve">第七条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32639"/>
      <w:bookmarkStart w:id="15" w:name="_Toc8727"/>
      <w:bookmarkStart w:id="16" w:name="_Toc6306"/>
      <w:bookmarkStart w:id="17" w:name="_Toc15517"/>
      <w:bookmarkStart w:id="18" w:name="_Toc26897"/>
      <w:bookmarkStart w:id="19" w:name="_Toc23386"/>
      <w:bookmarkStart w:id="20" w:name="_Toc30935"/>
      <w:bookmarkStart w:id="21" w:name="_Toc29629"/>
      <w:bookmarkStart w:id="22" w:name="_Toc4966"/>
      <w:bookmarkStart w:id="23" w:name="_Toc4867"/>
      <w:bookmarkStart w:id="24" w:name="_Toc141703880"/>
      <w:bookmarkStart w:id="25" w:name="_Toc123112229"/>
      <w:bookmarkStart w:id="26" w:name="_Toc123112268"/>
      <w:bookmarkStart w:id="27" w:name="_Toc139991730"/>
      <w:bookmarkStart w:id="28" w:name="_Toc123701389"/>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13020"/>
      <w:bookmarkStart w:id="33" w:name="_Toc3224"/>
      <w:bookmarkStart w:id="34" w:name="_Toc19592"/>
      <w:bookmarkStart w:id="35" w:name="_Toc22864"/>
      <w:bookmarkStart w:id="36" w:name="_Toc819"/>
      <w:bookmarkStart w:id="37" w:name="_Toc6617"/>
      <w:bookmarkStart w:id="38" w:name="_Toc21301"/>
      <w:bookmarkStart w:id="39" w:name="_Toc15067"/>
      <w:bookmarkStart w:id="40" w:name="_Toc2465"/>
      <w:bookmarkStart w:id="41" w:name="_Toc24860"/>
      <w:bookmarkStart w:id="42" w:name="_Toc258829399"/>
      <w:r>
        <w:rPr>
          <w:rFonts w:hint="eastAsia" w:ascii="Times New Roman"/>
          <w:color w:val="auto"/>
          <w:sz w:val="30"/>
        </w:rPr>
        <w:t>前言</w:t>
      </w:r>
      <w:bookmarkEnd w:id="29"/>
    </w:p>
    <w:p>
      <w:pPr>
        <w:pStyle w:val="17"/>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6683"/>
      <w:bookmarkStart w:id="48" w:name="_Toc24571"/>
      <w:bookmarkStart w:id="49" w:name="_Toc22708"/>
      <w:bookmarkStart w:id="50" w:name="_Toc545"/>
      <w:bookmarkStart w:id="51" w:name="_Toc20627"/>
      <w:bookmarkStart w:id="52" w:name="_Toc18631"/>
      <w:bookmarkStart w:id="53" w:name="_Toc733"/>
      <w:bookmarkStart w:id="54" w:name="_Toc74065740"/>
      <w:bookmarkStart w:id="55" w:name="_Toc6149"/>
      <w:bookmarkStart w:id="56" w:name="_Toc20318"/>
      <w:bookmarkStart w:id="57" w:name="_Toc13288"/>
      <w:bookmarkStart w:id="58" w:name="_Toc233456272"/>
      <w:bookmarkStart w:id="59" w:name="_Toc258829400"/>
      <w:r>
        <w:rPr>
          <w:rFonts w:hint="eastAsia" w:ascii="Times New Roman"/>
          <w:color w:val="auto"/>
          <w:sz w:val="30"/>
        </w:rPr>
        <w:t>第三条</w:t>
      </w:r>
      <w:r>
        <w:rPr>
          <w:rFonts w:ascii="Times New Roman"/>
          <w:color w:val="auto"/>
          <w:sz w:val="30"/>
        </w:rPr>
        <w:t xml:space="preserve">  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29352"/>
      <w:bookmarkStart w:id="64" w:name="_Toc77953869"/>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3"/>
      <w:bookmarkEnd w:id="6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10"/>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【】类</w:t>
            </w:r>
            <w:r>
              <w:rPr>
                <w:rFonts w:ascii="宋体" w:hAnsi="宋体" w:cs="宋体"/>
                <w:b/>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rPr>
                <w:rFonts w:ascii="宋体" w:hAnsi="宋体"/>
                <w:b/>
                <w:bCs/>
                <w:sz w:val="18"/>
                <w:szCs w:val="18"/>
              </w:rPr>
            </w:pPr>
            <w:r>
              <w:rPr>
                <w:rFonts w:ascii="宋体" w:hAnsi="宋体"/>
                <w:b/>
                <w:bCs/>
                <w:sz w:val="18"/>
                <w:szCs w:val="18"/>
              </w:rPr>
              <w:t>份额：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投资者法定代表人或授权代理人（签字或盖章）：</w:t>
            </w:r>
          </w:p>
          <w:p>
            <w:pPr>
              <w:spacing w:line="360" w:lineRule="auto"/>
              <w:rPr>
                <w:sz w:val="18"/>
                <w:szCs w:val="18"/>
              </w:rPr>
            </w:pPr>
            <w:r>
              <w:rPr>
                <w:rFonts w:hint="eastAsia"/>
                <w:sz w:val="18"/>
                <w:szCs w:val="18"/>
              </w:rPr>
              <w:t>日期：</w:t>
            </w:r>
          </w:p>
        </w:tc>
      </w:tr>
    </w:tbl>
    <w:p>
      <w:pPr>
        <w:spacing w:line="360" w:lineRule="auto"/>
        <w:jc w:val="left"/>
        <w:rPr>
          <w:rFonts w:hint="eastAsia" w:ascii="宋体" w:hAnsi="宋体"/>
          <w:b/>
          <w:sz w:val="18"/>
          <w:szCs w:val="18"/>
        </w:rPr>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widowControl/>
        <w:spacing w:line="360" w:lineRule="auto"/>
        <w:jc w:val="center"/>
        <w:rPr>
          <w:rStyle w:val="12"/>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黑体" w:hAnsi="黑体" w:eastAsia="黑体"/>
          <w:sz w:val="44"/>
          <w:szCs w:val="44"/>
        </w:rPr>
      </w:pPr>
      <w:r>
        <w:rPr>
          <w:rStyle w:val="12"/>
          <w:rFonts w:hint="eastAsia" w:ascii="黑体" w:hAnsi="黑体" w:eastAsia="黑体"/>
          <w:sz w:val="44"/>
          <w:szCs w:val="44"/>
        </w:rPr>
        <w:t>兴银理财【天天万利宝稳利净值型】理财产品</w:t>
      </w:r>
    </w:p>
    <w:p>
      <w:pPr>
        <w:adjustRightInd w:val="0"/>
        <w:spacing w:line="360" w:lineRule="auto"/>
        <w:jc w:val="center"/>
        <w:rPr>
          <w:rStyle w:val="12"/>
          <w:rFonts w:ascii="黑体" w:hAnsi="黑体" w:eastAsia="黑体"/>
          <w:sz w:val="44"/>
          <w:szCs w:val="44"/>
        </w:rPr>
      </w:pPr>
      <w:r>
        <w:rPr>
          <w:rStyle w:val="12"/>
          <w:rFonts w:hint="eastAsia" w:ascii="黑体" w:hAnsi="黑体" w:eastAsia="黑体"/>
          <w:sz w:val="44"/>
          <w:szCs w:val="44"/>
        </w:rPr>
        <w:t>产品说明书</w:t>
      </w:r>
    </w:p>
    <w:p>
      <w:pPr>
        <w:adjustRightInd w:val="0"/>
        <w:spacing w:line="360" w:lineRule="auto"/>
        <w:jc w:val="center"/>
        <w:rPr>
          <w:rStyle w:val="12"/>
          <w:rFonts w:ascii="宋体" w:hAnsi="宋体"/>
          <w:sz w:val="32"/>
          <w:szCs w:val="32"/>
        </w:rPr>
      </w:pPr>
    </w:p>
    <w:p>
      <w:pPr>
        <w:adjustRightInd w:val="0"/>
        <w:spacing w:line="360" w:lineRule="auto"/>
        <w:rPr>
          <w:rStyle w:val="12"/>
          <w:rFonts w:ascii="黑体" w:hAnsi="黑体" w:eastAsia="黑体"/>
          <w:bCs w:val="0"/>
          <w:sz w:val="28"/>
          <w:szCs w:val="28"/>
        </w:rPr>
      </w:pPr>
    </w:p>
    <w:p>
      <w:pPr>
        <w:adjustRightInd w:val="0"/>
        <w:spacing w:line="360" w:lineRule="auto"/>
        <w:jc w:val="center"/>
        <w:rPr>
          <w:rStyle w:val="12"/>
          <w:rFonts w:ascii="黑体" w:hAnsi="黑体" w:eastAsia="黑体"/>
          <w:bCs w:val="0"/>
          <w:sz w:val="28"/>
          <w:szCs w:val="28"/>
        </w:rPr>
      </w:pPr>
    </w:p>
    <w:p>
      <w:pPr>
        <w:adjustRightInd w:val="0"/>
        <w:spacing w:line="360" w:lineRule="auto"/>
        <w:jc w:val="center"/>
        <w:rPr>
          <w:rStyle w:val="12"/>
          <w:rFonts w:ascii="黑体" w:hAnsi="黑体" w:eastAsia="黑体"/>
          <w:bCs w:val="0"/>
          <w:sz w:val="28"/>
          <w:szCs w:val="28"/>
        </w:rPr>
      </w:pPr>
    </w:p>
    <w:p>
      <w:pPr>
        <w:adjustRightInd w:val="0"/>
        <w:spacing w:line="360" w:lineRule="auto"/>
        <w:jc w:val="center"/>
        <w:rPr>
          <w:rStyle w:val="12"/>
          <w:rFonts w:ascii="宋体" w:hAnsi="宋体" w:cs="Times New Roman"/>
          <w:sz w:val="32"/>
          <w:szCs w:val="32"/>
        </w:rPr>
      </w:pPr>
      <w:r>
        <w:rPr>
          <w:rStyle w:val="12"/>
          <w:rFonts w:hint="eastAsia" w:ascii="宋体" w:hAnsi="宋体" w:cs="Times New Roman"/>
          <w:sz w:val="32"/>
          <w:szCs w:val="32"/>
        </w:rPr>
        <w:t>理财产品管理人：兴银理财有限责任公司</w:t>
      </w: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宋体" w:hAnsi="宋体" w:cs="Times New Roman"/>
          <w:sz w:val="32"/>
          <w:szCs w:val="32"/>
        </w:rPr>
      </w:pPr>
      <w:r>
        <w:rPr>
          <w:rStyle w:val="12"/>
          <w:rFonts w:hint="eastAsia" w:ascii="宋体" w:hAnsi="宋体" w:cs="Times New Roman"/>
          <w:sz w:val="32"/>
          <w:szCs w:val="32"/>
        </w:rPr>
        <w:t>日期</w:t>
      </w:r>
      <w:r>
        <w:rPr>
          <w:rStyle w:val="12"/>
          <w:rFonts w:ascii="宋体" w:hAnsi="宋体" w:cs="Times New Roman"/>
          <w:sz w:val="32"/>
          <w:szCs w:val="32"/>
        </w:rPr>
        <w:t>：</w:t>
      </w:r>
      <w:r>
        <w:rPr>
          <w:rStyle w:val="12"/>
          <w:rFonts w:hint="eastAsia" w:ascii="宋体" w:hAnsi="宋体" w:cs="Times New Roman"/>
          <w:sz w:val="32"/>
          <w:szCs w:val="32"/>
        </w:rPr>
        <w:t>【202</w:t>
      </w:r>
      <w:r>
        <w:rPr>
          <w:rStyle w:val="12"/>
          <w:rFonts w:ascii="宋体" w:hAnsi="宋体" w:cs="Times New Roman"/>
          <w:sz w:val="32"/>
          <w:szCs w:val="32"/>
        </w:rPr>
        <w:t>4</w:t>
      </w:r>
      <w:r>
        <w:rPr>
          <w:rStyle w:val="12"/>
          <w:rFonts w:hint="eastAsia" w:ascii="宋体" w:hAnsi="宋体" w:cs="Times New Roman"/>
          <w:sz w:val="32"/>
          <w:szCs w:val="32"/>
        </w:rPr>
        <w:t>】年【</w:t>
      </w:r>
      <w:r>
        <w:rPr>
          <w:rStyle w:val="12"/>
          <w:rFonts w:hint="eastAsia" w:ascii="宋体" w:hAnsi="宋体" w:cs="Times New Roman"/>
          <w:sz w:val="32"/>
          <w:szCs w:val="32"/>
          <w:lang w:val="en-US" w:eastAsia="zh-CN"/>
        </w:rPr>
        <w:t>02</w:t>
      </w:r>
      <w:r>
        <w:rPr>
          <w:rStyle w:val="12"/>
          <w:rFonts w:hint="eastAsia" w:ascii="宋体" w:hAnsi="宋体" w:cs="Times New Roman"/>
          <w:sz w:val="32"/>
          <w:szCs w:val="32"/>
        </w:rPr>
        <w:t>】月</w:t>
      </w:r>
    </w:p>
    <w:p>
      <w:pPr>
        <w:rPr>
          <w:rStyle w:val="12"/>
          <w:rFonts w:ascii="宋体" w:hAnsi="宋体"/>
          <w:sz w:val="32"/>
          <w:szCs w:val="32"/>
        </w:rPr>
      </w:pPr>
      <w:r>
        <w:rPr>
          <w:rStyle w:val="12"/>
          <w:rFonts w:ascii="宋体" w:hAnsi="宋体"/>
          <w:sz w:val="32"/>
          <w:szCs w:val="32"/>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18"/>
            <w:spacing w:line="360" w:lineRule="auto"/>
            <w:jc w:val="center"/>
          </w:pPr>
          <w:bookmarkStart w:id="66" w:name="_Toc78276587"/>
          <w:r>
            <w:rPr>
              <w:lang w:val="zh-CN"/>
            </w:rPr>
            <w:t>目录</w:t>
          </w:r>
        </w:p>
        <w:p>
          <w:pPr>
            <w:pStyle w:val="6"/>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"_Toc116984884" </w:instrText>
          </w:r>
          <w:r>
            <w:fldChar w:fldCharType="separate"/>
          </w:r>
          <w:r>
            <w:rPr>
              <w:rStyle w:val="13"/>
              <w:rFonts w:hint="eastAsia" w:ascii="Times New Roman"/>
            </w:rPr>
            <w:t>第一条</w:t>
          </w:r>
          <w:r>
            <w:rPr>
              <w:rStyle w:val="13"/>
              <w:rFonts w:ascii="Times New Roman"/>
            </w:rPr>
            <w:t xml:space="preserve">  </w:t>
          </w:r>
          <w:r>
            <w:rPr>
              <w:rStyle w:val="13"/>
              <w:rFonts w:hint="eastAsia" w:ascii="Times New Roman"/>
            </w:rPr>
            <w:t>释义</w:t>
          </w:r>
          <w:r>
            <w:tab/>
          </w:r>
          <w:r>
            <w:fldChar w:fldCharType="begin"/>
          </w:r>
          <w:r>
            <w:instrText xml:space="preserve"> PAGEREF _Toc116984884 \h </w:instrText>
          </w:r>
          <w:r>
            <w:fldChar w:fldCharType="separate"/>
          </w:r>
          <w:r>
            <w:t>3</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"_Toc116984885" </w:instrText>
          </w:r>
          <w:r>
            <w:fldChar w:fldCharType="separate"/>
          </w:r>
          <w:r>
            <w:rPr>
              <w:rStyle w:val="13"/>
              <w:rFonts w:hint="eastAsia" w:hAnsi="宋体"/>
            </w:rPr>
            <w:t>第二条</w:t>
          </w:r>
          <w:r>
            <w:rPr>
              <w:rStyle w:val="13"/>
              <w:rFonts w:hAnsi="宋体"/>
            </w:rPr>
            <w:t xml:space="preserve">  </w:t>
          </w:r>
          <w:r>
            <w:rPr>
              <w:rStyle w:val="13"/>
              <w:rFonts w:hint="eastAsia" w:hAnsi="宋体"/>
            </w:rPr>
            <w:t>理财产品基本情况</w:t>
          </w:r>
          <w:r>
            <w:rPr>
              <w:rStyle w:val="13"/>
              <w:rFonts w:hAnsi="宋体"/>
            </w:rPr>
            <w:t xml:space="preserve"> </w:t>
          </w:r>
          <w:r>
            <w:tab/>
          </w:r>
          <w:r>
            <w:fldChar w:fldCharType="begin"/>
          </w:r>
          <w:r>
            <w:instrText xml:space="preserve"> PAGEREF _Toc116984885 \h </w:instrText>
          </w:r>
          <w:r>
            <w:fldChar w:fldCharType="separate"/>
          </w:r>
          <w:r>
            <w:t>9</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"_Toc116984886" </w:instrText>
          </w:r>
          <w:r>
            <w:fldChar w:fldCharType="separate"/>
          </w:r>
          <w:r>
            <w:rPr>
              <w:rStyle w:val="13"/>
              <w:rFonts w:hint="eastAsia" w:ascii="Times New Roman"/>
            </w:rPr>
            <w:t>第三条</w:t>
          </w:r>
          <w:r>
            <w:rPr>
              <w:rStyle w:val="13"/>
              <w:rFonts w:ascii="Times New Roman"/>
            </w:rPr>
            <w:t xml:space="preserve">  </w:t>
          </w:r>
          <w:r>
            <w:rPr>
              <w:rStyle w:val="13"/>
              <w:rFonts w:hint="eastAsia" w:ascii="Times New Roman"/>
            </w:rPr>
            <w:t>理财产品的认购</w:t>
          </w:r>
          <w:r>
            <w:tab/>
          </w:r>
          <w:r>
            <w:fldChar w:fldCharType="begin"/>
          </w:r>
          <w:r>
            <w:instrText xml:space="preserve"> PAGEREF _Toc116984886 \h </w:instrText>
          </w:r>
          <w:r>
            <w:fldChar w:fldCharType="separate"/>
          </w:r>
          <w:r>
            <w:t>17</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"_Toc116984887" </w:instrText>
          </w:r>
          <w:r>
            <w:fldChar w:fldCharType="separate"/>
          </w:r>
          <w:r>
            <w:rPr>
              <w:rStyle w:val="13"/>
              <w:rFonts w:hint="eastAsia" w:ascii="Times New Roman"/>
            </w:rPr>
            <w:t>第四条</w:t>
          </w:r>
          <w:r>
            <w:rPr>
              <w:rStyle w:val="13"/>
              <w:rFonts w:ascii="Times New Roman"/>
            </w:rPr>
            <w:t xml:space="preserve">  </w:t>
          </w:r>
          <w:r>
            <w:rPr>
              <w:rStyle w:val="13"/>
              <w:rFonts w:hint="eastAsia" w:ascii="Times New Roman"/>
            </w:rPr>
            <w:t>理财产品的申购与赎回</w:t>
          </w:r>
          <w:r>
            <w:tab/>
          </w:r>
          <w:r>
            <w:fldChar w:fldCharType="begin"/>
          </w:r>
          <w:r>
            <w:instrText xml:space="preserve"> PAGEREF _Toc116984887 \h </w:instrText>
          </w:r>
          <w:r>
            <w:fldChar w:fldCharType="separate"/>
          </w:r>
          <w:r>
            <w:t>19</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"_Toc116984888" </w:instrText>
          </w:r>
          <w:r>
            <w:fldChar w:fldCharType="separate"/>
          </w:r>
          <w:r>
            <w:rPr>
              <w:rStyle w:val="13"/>
              <w:rFonts w:hint="eastAsia" w:ascii="Times New Roman"/>
            </w:rPr>
            <w:t>第五条</w:t>
          </w:r>
          <w:r>
            <w:rPr>
              <w:rStyle w:val="13"/>
              <w:rFonts w:ascii="Times New Roman"/>
            </w:rPr>
            <w:t xml:space="preserve">  </w:t>
          </w:r>
          <w:r>
            <w:rPr>
              <w:rStyle w:val="13"/>
              <w:rFonts w:hint="eastAsia" w:ascii="Times New Roman"/>
            </w:rPr>
            <w:t>理财产品的投资</w:t>
          </w:r>
          <w:r>
            <w:tab/>
          </w:r>
          <w:r>
            <w:fldChar w:fldCharType="begin"/>
          </w:r>
          <w:r>
            <w:instrText xml:space="preserve"> PAGEREF _Toc116984888 \h </w:instrText>
          </w:r>
          <w:r>
            <w:fldChar w:fldCharType="separate"/>
          </w:r>
          <w:r>
            <w:t>23</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"_Toc116984889" </w:instrText>
          </w:r>
          <w:r>
            <w:fldChar w:fldCharType="separate"/>
          </w:r>
          <w:r>
            <w:rPr>
              <w:rStyle w:val="13"/>
              <w:rFonts w:hint="eastAsia" w:ascii="Times New Roman"/>
            </w:rPr>
            <w:t>第六条</w:t>
          </w:r>
          <w:r>
            <w:rPr>
              <w:rStyle w:val="13"/>
              <w:rFonts w:ascii="Times New Roman"/>
            </w:rPr>
            <w:t xml:space="preserve">  </w:t>
          </w:r>
          <w:r>
            <w:rPr>
              <w:rStyle w:val="13"/>
              <w:rFonts w:hint="eastAsia" w:ascii="Times New Roman"/>
            </w:rPr>
            <w:t>理财产品的资产</w:t>
          </w:r>
          <w:r>
            <w:tab/>
          </w:r>
          <w:r>
            <w:fldChar w:fldCharType="begin"/>
          </w:r>
          <w:r>
            <w:instrText xml:space="preserve"> PAGEREF _Toc116984889 \h </w:instrText>
          </w:r>
          <w:r>
            <w:fldChar w:fldCharType="separate"/>
          </w:r>
          <w:r>
            <w:t>26</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"_Toc116984890" </w:instrText>
          </w:r>
          <w:r>
            <w:fldChar w:fldCharType="separate"/>
          </w:r>
          <w:r>
            <w:rPr>
              <w:rStyle w:val="13"/>
              <w:rFonts w:hint="eastAsia" w:ascii="Times New Roman"/>
            </w:rPr>
            <w:t>第七条</w:t>
          </w:r>
          <w:r>
            <w:rPr>
              <w:rStyle w:val="13"/>
              <w:rFonts w:ascii="Times New Roman"/>
            </w:rPr>
            <w:t xml:space="preserve">  </w:t>
          </w:r>
          <w:r>
            <w:rPr>
              <w:rStyle w:val="13"/>
              <w:rFonts w:hint="eastAsia" w:ascii="Times New Roman"/>
            </w:rPr>
            <w:t>理财产品项下资产的估值</w:t>
          </w:r>
          <w:r>
            <w:tab/>
          </w:r>
          <w:r>
            <w:fldChar w:fldCharType="begin"/>
          </w:r>
          <w:r>
            <w:instrText xml:space="preserve"> PAGEREF _Toc116984890 \h </w:instrText>
          </w:r>
          <w:r>
            <w:fldChar w:fldCharType="separate"/>
          </w:r>
          <w:r>
            <w:t>27</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"_Toc116984891" </w:instrText>
          </w:r>
          <w:r>
            <w:fldChar w:fldCharType="separate"/>
          </w:r>
          <w:r>
            <w:rPr>
              <w:rStyle w:val="13"/>
              <w:rFonts w:hint="eastAsia" w:ascii="Times New Roman"/>
            </w:rPr>
            <w:t>第八条</w:t>
          </w:r>
          <w:r>
            <w:rPr>
              <w:rStyle w:val="13"/>
              <w:rFonts w:ascii="Times New Roman"/>
            </w:rPr>
            <w:t xml:space="preserve">  </w:t>
          </w:r>
          <w:r>
            <w:rPr>
              <w:rStyle w:val="13"/>
              <w:rFonts w:hint="eastAsia" w:ascii="Times New Roman"/>
            </w:rPr>
            <w:t>理财产品的利益分配</w:t>
          </w:r>
          <w:r>
            <w:tab/>
          </w:r>
          <w:r>
            <w:fldChar w:fldCharType="begin"/>
          </w:r>
          <w:r>
            <w:instrText xml:space="preserve"> PAGEREF _Toc116984891 \h </w:instrText>
          </w:r>
          <w:r>
            <w:fldChar w:fldCharType="separate"/>
          </w:r>
          <w:r>
            <w:t>31</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"_Toc116984892" </w:instrText>
          </w:r>
          <w:r>
            <w:fldChar w:fldCharType="separate"/>
          </w:r>
          <w:r>
            <w:rPr>
              <w:rStyle w:val="13"/>
              <w:rFonts w:hint="eastAsia" w:ascii="Times New Roman"/>
            </w:rPr>
            <w:t>第九条</w:t>
          </w:r>
          <w:r>
            <w:rPr>
              <w:rStyle w:val="13"/>
              <w:rFonts w:ascii="Times New Roman"/>
            </w:rPr>
            <w:t xml:space="preserve">  </w:t>
          </w:r>
          <w:r>
            <w:rPr>
              <w:rStyle w:val="13"/>
              <w:rFonts w:hint="eastAsia" w:ascii="Times New Roman"/>
            </w:rPr>
            <w:t>理财产品的费用与税收</w:t>
          </w:r>
          <w:r>
            <w:tab/>
          </w:r>
          <w:r>
            <w:fldChar w:fldCharType="begin"/>
          </w:r>
          <w:r>
            <w:instrText xml:space="preserve"> PAGEREF _Toc116984892 \h </w:instrText>
          </w:r>
          <w:r>
            <w:fldChar w:fldCharType="separate"/>
          </w:r>
          <w:r>
            <w:t>32</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"_Toc116984893" </w:instrText>
          </w:r>
          <w:r>
            <w:fldChar w:fldCharType="separate"/>
          </w:r>
          <w:r>
            <w:rPr>
              <w:rStyle w:val="13"/>
              <w:rFonts w:hint="eastAsia"/>
            </w:rPr>
            <w:t>第十条</w:t>
          </w:r>
          <w:r>
            <w:rPr>
              <w:rStyle w:val="13"/>
            </w:rPr>
            <w:t xml:space="preserve">  </w:t>
          </w:r>
          <w:r>
            <w:rPr>
              <w:rStyle w:val="13"/>
              <w:rFonts w:hint="eastAsia"/>
            </w:rPr>
            <w:t>理财产品的终止与清算</w:t>
          </w:r>
          <w:r>
            <w:tab/>
          </w:r>
          <w:r>
            <w:fldChar w:fldCharType="begin"/>
          </w:r>
          <w:r>
            <w:instrText xml:space="preserve"> PAGEREF _Toc116984893 \h </w:instrText>
          </w:r>
          <w:r>
            <w:fldChar w:fldCharType="separate"/>
          </w:r>
          <w:r>
            <w:t>35</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"_Toc116984894" </w:instrText>
          </w:r>
          <w:r>
            <w:fldChar w:fldCharType="separate"/>
          </w:r>
          <w:r>
            <w:rPr>
              <w:rStyle w:val="13"/>
              <w:rFonts w:hint="eastAsia" w:ascii="Times New Roman"/>
            </w:rPr>
            <w:t>第十一条</w:t>
          </w:r>
          <w:r>
            <w:rPr>
              <w:rStyle w:val="13"/>
              <w:rFonts w:ascii="Times New Roman"/>
            </w:rPr>
            <w:t xml:space="preserve">  </w:t>
          </w:r>
          <w:r>
            <w:rPr>
              <w:rStyle w:val="13"/>
              <w:rFonts w:hint="eastAsia" w:ascii="Times New Roman"/>
            </w:rPr>
            <w:t>理财产品的信息披露</w:t>
          </w:r>
          <w:r>
            <w:tab/>
          </w:r>
          <w:r>
            <w:fldChar w:fldCharType="begin"/>
          </w:r>
          <w:r>
            <w:instrText xml:space="preserve"> PAGEREF _Toc116984894 \h </w:instrText>
          </w:r>
          <w:r>
            <w:fldChar w:fldCharType="separate"/>
          </w:r>
          <w:r>
            <w:t>37</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"_Toc116984895" </w:instrText>
          </w:r>
          <w:r>
            <w:fldChar w:fldCharType="separate"/>
          </w:r>
          <w:r>
            <w:rPr>
              <w:rStyle w:val="13"/>
              <w:rFonts w:hint="eastAsia" w:ascii="Times New Roman"/>
            </w:rPr>
            <w:t>第十二条</w:t>
          </w:r>
          <w:r>
            <w:rPr>
              <w:rStyle w:val="13"/>
              <w:rFonts w:ascii="Times New Roman"/>
            </w:rPr>
            <w:t xml:space="preserve">  </w:t>
          </w:r>
          <w:r>
            <w:rPr>
              <w:rStyle w:val="13"/>
              <w:rFonts w:hint="eastAsia" w:ascii="Times New Roman"/>
            </w:rPr>
            <w:t>理财产品的风险揭示</w:t>
          </w:r>
          <w:r>
            <w:tab/>
          </w:r>
          <w:r>
            <w:fldChar w:fldCharType="begin"/>
          </w:r>
          <w:r>
            <w:instrText xml:space="preserve"> PAGEREF _Toc116984895 \h </w:instrText>
          </w:r>
          <w:r>
            <w:fldChar w:fldCharType="separate"/>
          </w:r>
          <w:r>
            <w:t>40</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widowControl/>
        <w:spacing w:line="360" w:lineRule="auto"/>
        <w:jc w:val="left"/>
        <w:rPr>
          <w:rFonts w:ascii="Times New Roman"/>
          <w:sz w:val="30"/>
        </w:rPr>
      </w:pPr>
    </w:p>
    <w:p>
      <w:pPr>
        <w:pStyle w:val="2"/>
        <w:spacing w:before="0" w:after="0" w:line="360" w:lineRule="auto"/>
        <w:jc w:val="center"/>
        <w:rPr>
          <w:rFonts w:ascii="Times New Roman"/>
          <w:sz w:val="30"/>
        </w:rPr>
      </w:pPr>
      <w:bookmarkStart w:id="67" w:name="_Toc92377130"/>
      <w:bookmarkStart w:id="68" w:name="_Toc116984884"/>
      <w:r>
        <w:rPr>
          <w:rFonts w:ascii="Times New Roman"/>
          <w:sz w:val="30"/>
        </w:rPr>
        <w:t>第</w:t>
      </w:r>
      <w:r>
        <w:rPr>
          <w:rFonts w:hint="eastAsia" w:ascii="Times New Roman"/>
          <w:sz w:val="30"/>
        </w:rPr>
        <w:t xml:space="preserve">一条 </w:t>
      </w:r>
      <w:r>
        <w:rPr>
          <w:rFonts w:ascii="Times New Roman"/>
          <w:sz w:val="30"/>
        </w:rPr>
        <w:t xml:space="preserve"> 释义</w:t>
      </w:r>
      <w:bookmarkEnd w:id="66"/>
      <w:bookmarkEnd w:id="67"/>
      <w:bookmarkEnd w:id="68"/>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17"/>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17"/>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：指产品管理人向投资者提供的，用于描述产品特征，约定权利义务的文件。具体指《兴银理财【天天万利宝稳利净值型】理财产品销售文件》，包括《投资协议书》、《产品说明书》、《（代理）销售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《投资协议书》：指管理人统一编制的《兴银理财【天天万利宝稳利净值型】理财产品投资协议书》，以及对该文件的有效修改或补充。</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）《产品说明书》：指管理人统一编制的《兴银理财【天天万利宝稳利净值型】理财产品产品说明书》，以及对该文件的有效修改或补充。</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（4）《（代理）销售协议书》：指管理人统一编制的《兴银理财【天天万利宝稳利净值型】理财产品（代理）销售协议书》或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的《兴银理财【天天万利宝稳利净值型】理财产品（代理）销售协议书》（文件名称以代理销售机构实际编制为准），以及对该文件的有效修改或补充。</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）《风险揭示书》：指管理人统一编制的《兴银理财【天天万利宝稳利净值型】理财产品风险揭示书》或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的《兴银理财【天天万利宝稳利净值型】理财产品风险揭示书》（文件名称以代理销售机构实际编制为准），以及对该文件的有效修改或补充。</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）《投资者权益须知》：指管理人统一编制的《兴银理财【天天万利宝稳利净值型】理财产品投资者权益须知》或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《兴银理财【天天万利宝稳利净值型】理财产品投资者权益须知》（文件名称以代理销售机构实际编制为准），以及对该文件的有效修改或补充。</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，为每类份额类别</w:t>
      </w:r>
      <w:r>
        <w:rPr>
          <w:rFonts w:asciiTheme="majorEastAsia" w:hAnsiTheme="majorEastAsia" w:eastAsiaTheme="majorEastAsia"/>
          <w:bCs/>
          <w:color w:val="auto"/>
          <w:sz w:val="18"/>
          <w:szCs w:val="18"/>
        </w:rPr>
        <w:t>设置</w:t>
      </w:r>
      <w:r>
        <w:rPr>
          <w:rFonts w:hint="eastAsia" w:asciiTheme="majorEastAsia" w:hAnsiTheme="majorEastAsia" w:eastAsiaTheme="majorEastAsia"/>
          <w:bCs/>
          <w:color w:val="auto"/>
          <w:sz w:val="18"/>
          <w:szCs w:val="18"/>
        </w:rPr>
        <w:t>的唯一性内部识别码。若本款理财产品不设置差异化产品份额类别，理财产品代码即为理财产品销售代码。</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17"/>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17"/>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17"/>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17"/>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14）利益分配：指产品管理人向投资者进行理财产品利益分配。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15）期间分配：指在理财产品终止日（不含当日）前的理财产品利益分配。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16）终止分配：指在理财产品终止日当日及之后的理财产品利益分配。</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20</w:t>
      </w:r>
      <w:r>
        <w:rPr>
          <w:rFonts w:hint="eastAsia" w:asciiTheme="minorEastAsia" w:hAnsiTheme="minorEastAsia" w:eastAsiaTheme="minorEastAsia"/>
          <w:color w:val="auto"/>
          <w:sz w:val="18"/>
          <w:szCs w:val="18"/>
        </w:rPr>
        <w:t>）</w:t>
      </w:r>
      <w:r>
        <w:rPr>
          <w:rFonts w:hint="eastAsia" w:ascii="黑体" w:hAnsi="黑体" w:eastAsia="黑体" w:cs="仿宋_GB2312"/>
          <w:bCs/>
          <w:color w:val="auto"/>
          <w:sz w:val="18"/>
          <w:szCs w:val="18"/>
        </w:rPr>
        <w:t>★</w:t>
      </w:r>
      <w:r>
        <w:rPr>
          <w:rFonts w:hint="eastAsia" w:asciiTheme="minorEastAsia" w:hAnsiTheme="minorEastAsia" w:eastAsiaTheme="minorEastAsia"/>
          <w:color w:val="auto"/>
          <w:sz w:val="18"/>
          <w:szCs w:val="18"/>
        </w:rPr>
        <w:t>预约申购</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指投资者在一段特定期间内提交预约申购申请，该预约申购申请在销售文件约定的申购申请日内自动转化为正式的申购申请。</w:t>
      </w:r>
      <w:r>
        <w:rPr>
          <w:rFonts w:asciiTheme="minorEastAsia" w:hAnsiTheme="minorEastAsia" w:eastAsiaTheme="minorEastAsia"/>
          <w:bCs/>
          <w:color w:val="auto"/>
          <w:sz w:val="18"/>
          <w:szCs w:val="18"/>
        </w:rPr>
        <w:t>提交预约申购</w:t>
      </w:r>
      <w:r>
        <w:rPr>
          <w:rFonts w:hint="eastAsia" w:asciiTheme="minorEastAsia" w:hAnsiTheme="minorEastAsia" w:eastAsiaTheme="minorEastAsia"/>
          <w:bCs/>
          <w:color w:val="auto"/>
          <w:sz w:val="18"/>
          <w:szCs w:val="18"/>
        </w:rPr>
        <w:t>申请</w:t>
      </w:r>
      <w:r>
        <w:rPr>
          <w:rFonts w:asciiTheme="minorEastAsia" w:hAnsiTheme="minorEastAsia" w:eastAsiaTheme="minorEastAsia"/>
          <w:bCs/>
          <w:color w:val="auto"/>
          <w:sz w:val="18"/>
          <w:szCs w:val="18"/>
        </w:rPr>
        <w:t>并不代表申购成功，产品管理人将在申购确认日确认投资者是否申购成功</w:t>
      </w:r>
      <w:r>
        <w:rPr>
          <w:rFonts w:hint="eastAsia" w:asciiTheme="minorEastAsia" w:hAnsiTheme="minorEastAsia" w:eastAsiaTheme="minorEastAsia"/>
          <w:bCs/>
          <w:color w:val="auto"/>
          <w:sz w:val="18"/>
          <w:szCs w:val="18"/>
        </w:rPr>
        <w:t>。</w:t>
      </w:r>
    </w:p>
    <w:p>
      <w:pPr>
        <w:spacing w:line="360" w:lineRule="auto"/>
        <w:ind w:right="-107" w:rightChars="-51"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21</w:t>
      </w:r>
      <w:r>
        <w:rPr>
          <w:rFonts w:hint="eastAsia" w:asciiTheme="minorEastAsia" w:hAnsiTheme="minorEastAsia" w:eastAsiaTheme="minorEastAsia"/>
          <w:sz w:val="18"/>
          <w:szCs w:val="18"/>
        </w:rPr>
        <w:t>）</w:t>
      </w:r>
      <w:r>
        <w:rPr>
          <w:rFonts w:hint="eastAsia" w:ascii="黑体" w:hAnsi="黑体" w:eastAsia="黑体" w:cs="仿宋_GB2312"/>
          <w:bCs/>
          <w:sz w:val="18"/>
          <w:szCs w:val="18"/>
        </w:rPr>
        <w:t>★</w:t>
      </w:r>
      <w:r>
        <w:rPr>
          <w:rFonts w:hint="eastAsia" w:asciiTheme="minorEastAsia" w:hAnsiTheme="minorEastAsia" w:eastAsiaTheme="minorEastAsia"/>
          <w:sz w:val="18"/>
          <w:szCs w:val="18"/>
        </w:rPr>
        <w:t>预约赎回</w:t>
      </w:r>
      <w:r>
        <w:rPr>
          <w:rFonts w:asciiTheme="minorEastAsia" w:hAnsiTheme="minorEastAsia" w:eastAsiaTheme="minorEastAsia"/>
          <w:sz w:val="18"/>
          <w:szCs w:val="18"/>
        </w:rPr>
        <w:t>:</w:t>
      </w:r>
      <w:r>
        <w:rPr>
          <w:rFonts w:hint="eastAsia" w:asciiTheme="minorEastAsia" w:hAnsiTheme="minorEastAsia" w:eastAsiaTheme="minorEastAsia"/>
          <w:sz w:val="18"/>
          <w:szCs w:val="18"/>
        </w:rPr>
        <w:t>指投资者在一段特定期间内提交预约赎回申请，该预约赎回申请在销售文件约定的赎回申请日内自动转化为正式的赎回申请。</w:t>
      </w:r>
      <w:r>
        <w:rPr>
          <w:rFonts w:asciiTheme="majorEastAsia" w:hAnsiTheme="majorEastAsia" w:eastAsiaTheme="majorEastAsia"/>
          <w:bCs/>
          <w:sz w:val="18"/>
          <w:szCs w:val="18"/>
        </w:rPr>
        <w:t>提交预约赎回</w:t>
      </w:r>
      <w:r>
        <w:rPr>
          <w:rFonts w:hint="eastAsia" w:asciiTheme="majorEastAsia" w:hAnsiTheme="majorEastAsia" w:eastAsiaTheme="majorEastAsia"/>
          <w:bCs/>
          <w:sz w:val="18"/>
          <w:szCs w:val="18"/>
        </w:rPr>
        <w:t>申请</w:t>
      </w:r>
      <w:r>
        <w:rPr>
          <w:rFonts w:asciiTheme="majorEastAsia" w:hAnsiTheme="majorEastAsia" w:eastAsiaTheme="majorEastAsia"/>
          <w:bCs/>
          <w:sz w:val="18"/>
          <w:szCs w:val="18"/>
        </w:rPr>
        <w:t>并不代表赎回成功，产品管理人将在赎回确认日确认投资者是否赎回成功</w:t>
      </w:r>
      <w:r>
        <w:rPr>
          <w:rFonts w:hint="eastAsia" w:asciiTheme="majorEastAsia" w:hAnsiTheme="majorEastAsia" w:eastAsiaTheme="majorEastAsia"/>
          <w:bCs/>
          <w:sz w:val="18"/>
          <w:szCs w:val="18"/>
        </w:rPr>
        <w:t>。</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22</w:t>
      </w:r>
      <w:r>
        <w:rPr>
          <w:rFonts w:hint="eastAsia" w:asciiTheme="majorEastAsia" w:hAnsiTheme="majorEastAsia" w:eastAsiaTheme="majorEastAsia"/>
          <w:bCs/>
          <w:color w:val="auto"/>
          <w:sz w:val="18"/>
          <w:szCs w:val="18"/>
        </w:rPr>
        <w:t>）巨额赎回：在本理财产品预约赎回期中，本产品的累计产品份额净预约赎回申请（预约赎回申请总份额扣除预约申购总份额后的余额</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下同）之和达到赎回日上一日产品总份额的约定百分比，为巨额赎回。</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23）摆动定价机制：是指当开放式公募理财产品（现金管理类理财产品除外）遭遇大额申购或赎回时，通过调整理财产品份额净值的方式，将理财产品调整投资组合的市场冲击成本分配给实际申购、赎回的投资者，从而减少对存量理财产品份额持有人利益的不利影响。</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24）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25）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17"/>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17"/>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17"/>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17"/>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17"/>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17"/>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17"/>
        <w:spacing w:line="360" w:lineRule="auto"/>
        <w:ind w:firstLine="360" w:firstLineChars="200"/>
        <w:rPr>
          <w:rFonts w:cs="仿宋_GB2312"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（11）★投资周期：投资周期指</w:t>
      </w:r>
      <w:r>
        <w:rPr>
          <w:rFonts w:hint="eastAsia" w:asciiTheme="minorEastAsia" w:hAnsiTheme="minorEastAsia" w:eastAsiaTheme="minorEastAsia"/>
          <w:bCs/>
          <w:color w:val="auto"/>
          <w:sz w:val="18"/>
          <w:szCs w:val="18"/>
        </w:rPr>
        <w:t>投资者</w:t>
      </w:r>
      <w:r>
        <w:rPr>
          <w:rFonts w:asciiTheme="minorEastAsia" w:hAnsiTheme="minorEastAsia" w:eastAsiaTheme="minorEastAsia"/>
          <w:bCs/>
          <w:color w:val="auto"/>
          <w:sz w:val="18"/>
          <w:szCs w:val="18"/>
        </w:rPr>
        <w:t>持有理财产品份额</w:t>
      </w:r>
      <w:r>
        <w:rPr>
          <w:rFonts w:hint="eastAsia" w:asciiTheme="minorEastAsia" w:hAnsiTheme="minorEastAsia" w:eastAsiaTheme="minorEastAsia"/>
          <w:bCs/>
          <w:color w:val="auto"/>
          <w:sz w:val="18"/>
          <w:szCs w:val="18"/>
        </w:rPr>
        <w:t>所对应的理财资金由产品管理人进行投资运作的一段完整期间，</w:t>
      </w:r>
      <w:r>
        <w:rPr>
          <w:rFonts w:hint="eastAsia" w:asciiTheme="majorEastAsia" w:hAnsiTheme="majorEastAsia" w:eastAsiaTheme="majorEastAsia"/>
          <w:bCs/>
          <w:color w:val="auto"/>
          <w:sz w:val="18"/>
          <w:szCs w:val="18"/>
        </w:rPr>
        <w:t>每一个投资周期</w:t>
      </w:r>
      <w:r>
        <w:rPr>
          <w:rFonts w:hint="eastAsia" w:cs="仿宋_GB2312" w:asciiTheme="majorEastAsia" w:hAnsiTheme="majorEastAsia" w:eastAsiaTheme="majorEastAsia"/>
          <w:color w:val="auto"/>
          <w:sz w:val="18"/>
          <w:szCs w:val="18"/>
        </w:rPr>
        <w:t>为该</w:t>
      </w:r>
      <w:r>
        <w:rPr>
          <w:rFonts w:hint="eastAsia" w:asciiTheme="majorEastAsia" w:hAnsiTheme="majorEastAsia" w:eastAsiaTheme="majorEastAsia"/>
          <w:bCs/>
          <w:color w:val="auto"/>
          <w:sz w:val="18"/>
          <w:szCs w:val="18"/>
        </w:rPr>
        <w:t>投资周期起始日</w:t>
      </w:r>
      <w:r>
        <w:rPr>
          <w:rFonts w:hint="eastAsia" w:cs="仿宋_GB2312" w:asciiTheme="majorEastAsia" w:hAnsiTheme="majorEastAsia" w:eastAsiaTheme="majorEastAsia"/>
          <w:color w:val="auto"/>
          <w:sz w:val="18"/>
          <w:szCs w:val="18"/>
        </w:rPr>
        <w:t>至该</w:t>
      </w:r>
      <w:r>
        <w:rPr>
          <w:rFonts w:hint="eastAsia" w:asciiTheme="majorEastAsia" w:hAnsiTheme="majorEastAsia" w:eastAsiaTheme="majorEastAsia"/>
          <w:bCs/>
          <w:color w:val="auto"/>
          <w:sz w:val="18"/>
          <w:szCs w:val="18"/>
        </w:rPr>
        <w:t>投资周期</w:t>
      </w:r>
      <w:r>
        <w:rPr>
          <w:rFonts w:hint="eastAsia" w:cs="仿宋_GB2312" w:asciiTheme="majorEastAsia" w:hAnsiTheme="majorEastAsia" w:eastAsiaTheme="majorEastAsia"/>
          <w:color w:val="auto"/>
          <w:sz w:val="18"/>
          <w:szCs w:val="18"/>
        </w:rPr>
        <w:t>终止日的理财期间。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投资周期起始日：指每一个投资周期开始的日期。</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投资周期终止日：指每一个投资周期结束的日期。</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（12）产品存续期：指自理财产品成立日起，至理财产品终止日的期间。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（13）预约申购期：指投资者可以提交预约申购申请</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 xml:space="preserve">一段特定时间。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（14</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预约</w:t>
      </w:r>
      <w:r>
        <w:rPr>
          <w:rFonts w:asciiTheme="majorEastAsia" w:hAnsiTheme="majorEastAsia" w:eastAsiaTheme="majorEastAsia"/>
          <w:bCs/>
          <w:color w:val="auto"/>
          <w:sz w:val="18"/>
          <w:szCs w:val="18"/>
        </w:rPr>
        <w:t>赎回期</w:t>
      </w:r>
      <w:r>
        <w:rPr>
          <w:rFonts w:hint="eastAsia" w:asciiTheme="majorEastAsia" w:hAnsiTheme="majorEastAsia" w:eastAsiaTheme="majorEastAsia"/>
          <w:bCs/>
          <w:color w:val="auto"/>
          <w:sz w:val="18"/>
          <w:szCs w:val="18"/>
        </w:rPr>
        <w:t>：指投资者可以提交预约赎回申请的一段特定时间。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5</w:t>
      </w:r>
      <w:r>
        <w:rPr>
          <w:rFonts w:hint="eastAsia" w:asciiTheme="majorEastAsia" w:hAnsiTheme="majorEastAsia" w:eastAsiaTheme="majorEastAsia"/>
          <w:bCs/>
          <w:color w:val="auto"/>
          <w:sz w:val="18"/>
          <w:szCs w:val="18"/>
        </w:rPr>
        <w:t>）预约申购申请日：指投资者在预约申购期内任意一日提出预约申购申请的当日。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）预约赎回申请日：指投资者在预约</w:t>
      </w:r>
      <w:r>
        <w:rPr>
          <w:rFonts w:asciiTheme="majorEastAsia" w:hAnsiTheme="majorEastAsia" w:eastAsiaTheme="majorEastAsia"/>
          <w:bCs/>
          <w:color w:val="auto"/>
          <w:sz w:val="18"/>
          <w:szCs w:val="18"/>
        </w:rPr>
        <w:t>赎回</w:t>
      </w:r>
      <w:r>
        <w:rPr>
          <w:rFonts w:hint="eastAsia" w:asciiTheme="majorEastAsia" w:hAnsiTheme="majorEastAsia" w:eastAsiaTheme="majorEastAsia"/>
          <w:bCs/>
          <w:color w:val="auto"/>
          <w:sz w:val="18"/>
          <w:szCs w:val="18"/>
        </w:rPr>
        <w:t>期内任意一日提出预约赎回申请的当日。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）申购申请日：指投资者做出申购申请的当日。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）赎回申请日：指投资者做出赎回申请的当日。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）申购日：指产品管理人接受投资者申购申请的当日。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20</w:t>
      </w:r>
      <w:r>
        <w:rPr>
          <w:rFonts w:hint="eastAsia" w:asciiTheme="majorEastAsia" w:hAnsiTheme="majorEastAsia" w:eastAsiaTheme="majorEastAsia"/>
          <w:bCs/>
          <w:color w:val="auto"/>
          <w:sz w:val="18"/>
          <w:szCs w:val="18"/>
        </w:rPr>
        <w:t>）赎回日：指产品管理人接受投资者赎回申请的当日。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）申购确认日：指产品管理人确认投资者申购</w:t>
      </w:r>
      <w:r>
        <w:rPr>
          <w:rFonts w:asciiTheme="majorEastAsia" w:hAnsiTheme="majorEastAsia" w:eastAsiaTheme="majorEastAsia"/>
          <w:bCs/>
          <w:color w:val="auto"/>
          <w:sz w:val="18"/>
          <w:szCs w:val="18"/>
        </w:rPr>
        <w:t>申请有效性</w:t>
      </w:r>
      <w:r>
        <w:rPr>
          <w:rFonts w:hint="eastAsia" w:asciiTheme="majorEastAsia" w:hAnsiTheme="majorEastAsia" w:eastAsiaTheme="majorEastAsia"/>
          <w:bCs/>
          <w:color w:val="auto"/>
          <w:sz w:val="18"/>
          <w:szCs w:val="18"/>
        </w:rPr>
        <w:t>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）赎回确认日：指产品管理人确认投资者赎回</w:t>
      </w:r>
      <w:r>
        <w:rPr>
          <w:rFonts w:asciiTheme="majorEastAsia" w:hAnsiTheme="majorEastAsia" w:eastAsiaTheme="majorEastAsia"/>
          <w:bCs/>
          <w:color w:val="auto"/>
          <w:sz w:val="18"/>
          <w:szCs w:val="18"/>
        </w:rPr>
        <w:t>申请有效性</w:t>
      </w:r>
      <w:r>
        <w:rPr>
          <w:rFonts w:hint="eastAsia" w:asciiTheme="majorEastAsia" w:hAnsiTheme="majorEastAsia" w:eastAsiaTheme="majorEastAsia"/>
          <w:bCs/>
          <w:color w:val="auto"/>
          <w:sz w:val="18"/>
          <w:szCs w:val="18"/>
        </w:rPr>
        <w:t>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23</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17"/>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w:t>
      </w:r>
      <w:r>
        <w:rPr>
          <w:rFonts w:hint="eastAsia" w:ascii="黑体" w:hAnsi="黑体" w:eastAsia="黑体" w:cs="仿宋_GB2312"/>
          <w:bCs/>
          <w:sz w:val="18"/>
          <w:szCs w:val="18"/>
        </w:rPr>
        <w:t>★</w:t>
      </w:r>
      <w:r>
        <w:rPr>
          <w:rFonts w:ascii="宋体" w:hAnsi="宋体"/>
          <w:kern w:val="0"/>
          <w:sz w:val="18"/>
          <w:szCs w:val="18"/>
        </w:rPr>
        <w:t>申购费：</w:t>
      </w:r>
      <w:r>
        <w:rPr>
          <w:rFonts w:hint="eastAsia" w:ascii="宋体" w:hAnsi="宋体"/>
          <w:kern w:val="0"/>
          <w:sz w:val="18"/>
          <w:szCs w:val="18"/>
        </w:rPr>
        <w:t>指</w:t>
      </w:r>
      <w:r>
        <w:rPr>
          <w:rFonts w:ascii="宋体" w:hAnsi="宋体"/>
          <w:kern w:val="0"/>
          <w:sz w:val="18"/>
          <w:szCs w:val="18"/>
        </w:rPr>
        <w:t>投资者申购产品时</w:t>
      </w:r>
      <w:r>
        <w:rPr>
          <w:rFonts w:hint="eastAsia" w:ascii="宋体" w:hAnsi="宋体"/>
          <w:kern w:val="0"/>
          <w:sz w:val="18"/>
          <w:szCs w:val="18"/>
        </w:rPr>
        <w:t>需缴纳的费用。</w:t>
      </w:r>
    </w:p>
    <w:p>
      <w:pPr>
        <w:pStyle w:val="17"/>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赎回费：指投资者赎回产品时需缴纳的费用。</w:t>
      </w:r>
    </w:p>
    <w:p>
      <w:pPr>
        <w:pStyle w:val="17"/>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17"/>
        <w:spacing w:line="360" w:lineRule="auto"/>
        <w:ind w:firstLine="360" w:firstLineChars="200"/>
        <w:rPr>
          <w:rFonts w:hAnsi="宋体"/>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17"/>
        <w:spacing w:line="360" w:lineRule="auto"/>
        <w:ind w:firstLine="360" w:firstLineChars="200"/>
        <w:rPr>
          <w:rFonts w:hAnsi="宋体"/>
          <w:sz w:val="18"/>
          <w:szCs w:val="18"/>
        </w:rPr>
      </w:pPr>
      <w:r>
        <w:rPr>
          <w:rFonts w:hint="eastAsia" w:hAnsi="宋体"/>
          <w:sz w:val="18"/>
          <w:szCs w:val="18"/>
        </w:rPr>
        <w:t>（6）</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17"/>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（7）</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pPr>
        <w:widowControl/>
        <w:spacing w:line="360" w:lineRule="auto"/>
        <w:jc w:val="left"/>
        <w:rPr>
          <w:rFonts w:ascii="宋体" w:hAnsi="宋体"/>
          <w:color w:val="000000"/>
          <w:kern w:val="0"/>
          <w:sz w:val="28"/>
          <w:szCs w:val="28"/>
        </w:rPr>
      </w:pPr>
      <w:r>
        <w:rPr>
          <w:rFonts w:hAnsi="宋体"/>
          <w:sz w:val="28"/>
          <w:szCs w:val="28"/>
        </w:rPr>
        <w:br w:type="page"/>
      </w:r>
    </w:p>
    <w:p>
      <w:pPr>
        <w:pStyle w:val="2"/>
        <w:spacing w:before="0" w:after="0" w:line="360" w:lineRule="auto"/>
        <w:jc w:val="center"/>
        <w:rPr>
          <w:rFonts w:hAnsi="宋体"/>
          <w:sz w:val="28"/>
          <w:szCs w:val="28"/>
        </w:rPr>
      </w:pPr>
      <w:bookmarkStart w:id="69" w:name="_Toc92377131"/>
      <w:bookmarkStart w:id="70" w:name="_Toc79154665"/>
      <w:bookmarkStart w:id="71" w:name="_Toc116984885"/>
      <w:r>
        <w:rPr>
          <w:rFonts w:hint="eastAsia" w:hAnsi="宋体"/>
          <w:sz w:val="28"/>
          <w:szCs w:val="28"/>
        </w:rPr>
        <w:t>第二条  理财产品基本情况</w:t>
      </w:r>
      <w:bookmarkEnd w:id="69"/>
      <w:bookmarkEnd w:id="70"/>
      <w:r>
        <w:rPr>
          <w:rFonts w:hint="eastAsia" w:hAnsi="宋体"/>
          <w:sz w:val="28"/>
          <w:szCs w:val="28"/>
        </w:rPr>
        <w:t xml:space="preserve"> </w:t>
      </w:r>
      <w:bookmarkEnd w:id="71"/>
    </w:p>
    <w:tbl>
      <w:tblPr>
        <w:tblStyle w:val="9"/>
        <w:tblW w:w="964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45"/>
        <w:gridCol w:w="77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704" w:type="dxa"/>
            <w:shd w:val="solid" w:color="FFFFFF" w:fill="FFFFFF"/>
          </w:tcPr>
          <w:p>
            <w:pPr>
              <w:spacing w:line="360" w:lineRule="auto"/>
              <w:jc w:val="left"/>
              <w:rPr>
                <w:rFonts w:asciiTheme="minorEastAsia" w:hAnsiTheme="minorEastAsia"/>
                <w:sz w:val="18"/>
                <w:szCs w:val="18"/>
              </w:rPr>
            </w:pPr>
            <w:r>
              <w:rPr>
                <w:rFonts w:hint="eastAsia" w:asciiTheme="minorEastAsia" w:hAnsiTheme="minorEastAsia"/>
                <w:sz w:val="18"/>
                <w:szCs w:val="18"/>
              </w:rPr>
              <w:t>【兴业银行天天万利宝稳利1号净值型理财产品</w:t>
            </w:r>
            <w:r>
              <w:rPr>
                <w:rFonts w:hint="eastAsia" w:asciiTheme="minorEastAsia" w:hAnsiTheme="minorEastAsia"/>
                <w:sz w:val="18"/>
                <w:szCs w:val="18"/>
                <w:lang w:eastAsia="zh-CN"/>
              </w:rPr>
              <w:t>L</w:t>
            </w:r>
            <w:r>
              <w:rPr>
                <w:rFonts w:hint="eastAsia" w:asciiTheme="minorEastAsia" w:hAnsiTheme="minorEastAsia"/>
                <w:sz w:val="18"/>
                <w:szCs w:val="18"/>
              </w:rPr>
              <w:t>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704" w:type="dxa"/>
            <w:shd w:val="solid" w:color="FFFFFF" w:fill="FFFFFF"/>
          </w:tcPr>
          <w:p>
            <w:pPr>
              <w:spacing w:line="360" w:lineRule="auto"/>
              <w:jc w:val="left"/>
              <w:rPr>
                <w:rFonts w:asciiTheme="minorEastAsia" w:hAnsiTheme="minorEastAsia"/>
                <w:sz w:val="18"/>
                <w:szCs w:val="18"/>
              </w:rPr>
            </w:pPr>
            <w:r>
              <w:rPr>
                <w:rFonts w:hint="eastAsia" w:asciiTheme="minorEastAsia" w:hAnsiTheme="minorEastAsia"/>
                <w:sz w:val="18"/>
                <w:szCs w:val="18"/>
              </w:rPr>
              <w:t>【稳利恒盈</w:t>
            </w:r>
            <w:r>
              <w:rPr>
                <w:rFonts w:hint="eastAsia" w:asciiTheme="minorEastAsia" w:hAnsiTheme="minorEastAsia"/>
                <w:sz w:val="18"/>
                <w:szCs w:val="18"/>
                <w:lang w:eastAsia="zh-CN"/>
              </w:rPr>
              <w:t>L</w:t>
            </w:r>
            <w:r>
              <w:rPr>
                <w:rFonts w:hint="eastAsia" w:asciiTheme="minorEastAsia" w:hAnsiTheme="minorEastAsia"/>
                <w:sz w:val="18"/>
                <w:szCs w:val="18"/>
              </w:rPr>
              <w:t xml:space="preserve"> 12个月】（适用【A】类份额）</w:t>
            </w:r>
          </w:p>
          <w:p>
            <w:pPr>
              <w:spacing w:line="360" w:lineRule="auto"/>
              <w:jc w:val="left"/>
              <w:rPr>
                <w:rFonts w:asciiTheme="minorEastAsia" w:hAnsiTheme="minorEastAsia"/>
                <w:sz w:val="18"/>
                <w:szCs w:val="18"/>
              </w:rPr>
            </w:pPr>
            <w:r>
              <w:rPr>
                <w:rFonts w:hint="eastAsia" w:ascii="宋体" w:hAnsi="宋体"/>
                <w:bCs/>
                <w:color w:val="000000" w:themeColor="text1"/>
                <w:sz w:val="18"/>
                <w:szCs w:val="18"/>
                <w14:textFill>
                  <w14:solidFill>
                    <w14:schemeClr w14:val="tx1"/>
                  </w14:solidFill>
                </w14:textFill>
              </w:rPr>
              <w:t>【稳利恒盈</w:t>
            </w:r>
            <w:r>
              <w:rPr>
                <w:rFonts w:hint="eastAsia" w:ascii="宋体" w:hAnsi="宋体"/>
                <w:bCs/>
                <w:color w:val="000000" w:themeColor="text1"/>
                <w:sz w:val="18"/>
                <w:szCs w:val="18"/>
                <w:lang w:eastAsia="zh-CN"/>
                <w14:textFill>
                  <w14:solidFill>
                    <w14:schemeClr w14:val="tx1"/>
                  </w14:solidFill>
                </w14:textFill>
              </w:rPr>
              <w:t>L</w:t>
            </w:r>
            <w:r>
              <w:rPr>
                <w:rFonts w:hint="eastAsia" w:ascii="宋体" w:hAnsi="宋体"/>
                <w:bCs/>
                <w:color w:val="000000" w:themeColor="text1"/>
                <w:sz w:val="18"/>
                <w:szCs w:val="18"/>
                <w14:textFill>
                  <w14:solidFill>
                    <w14:schemeClr w14:val="tx1"/>
                  </w14:solidFill>
                </w14:textFill>
              </w:rPr>
              <w:t xml:space="preserve"> 12个月B】（适用【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704" w:type="dxa"/>
            <w:shd w:val="solid" w:color="FFFFFF" w:fill="FFFFFF"/>
          </w:tcPr>
          <w:p>
            <w:pPr>
              <w:spacing w:line="360" w:lineRule="auto"/>
              <w:jc w:val="left"/>
              <w:rPr>
                <w:rFonts w:asciiTheme="minorEastAsia" w:hAnsiTheme="minorEastAsia"/>
                <w:sz w:val="18"/>
                <w:szCs w:val="18"/>
              </w:rPr>
            </w:pPr>
            <w:r>
              <w:rPr>
                <w:rFonts w:hint="eastAsia" w:asciiTheme="minorEastAsia" w:hAnsiTheme="minorEastAsia"/>
                <w:sz w:val="18"/>
                <w:szCs w:val="18"/>
              </w:rPr>
              <w:t>【Z700202000001</w:t>
            </w:r>
            <w:r>
              <w:rPr>
                <w:rFonts w:hint="eastAsia" w:asciiTheme="minorEastAsia" w:hAnsiTheme="minorEastAsia"/>
                <w:sz w:val="18"/>
                <w:szCs w:val="18"/>
                <w:lang w:val="en-US" w:eastAsia="zh-CN"/>
              </w:rPr>
              <w:t>6</w:t>
            </w:r>
            <w:r>
              <w:rPr>
                <w:rFonts w:hint="eastAsia" w:asciiTheme="minorEastAsia" w:hAnsiTheme="minorEastAsia"/>
                <w:sz w:val="18"/>
                <w:szCs w:val="18"/>
              </w:rPr>
              <w:t>】投资者可依据理财产品登记编码在中国理财网(</w:t>
            </w:r>
            <w:r>
              <w:fldChar w:fldCharType="begin"/>
            </w:r>
            <w:r>
              <w:instrText xml:space="preserve"> HYPERLINK "http://www.chinawealth.com.cn" </w:instrText>
            </w:r>
            <w:r>
              <w:fldChar w:fldCharType="separate"/>
            </w:r>
            <w:r>
              <w:rPr>
                <w:rFonts w:hint="eastAsia" w:asciiTheme="minorEastAsia" w:hAnsiTheme="minorEastAsia"/>
                <w:sz w:val="18"/>
                <w:szCs w:val="18"/>
              </w:rPr>
              <w:t>www.chinawealth.com.cn</w:t>
            </w:r>
            <w:r>
              <w:rPr>
                <w:rFonts w:hint="eastAsia" w:asciiTheme="minorEastAsia" w:hAnsiTheme="minorEastAsia"/>
                <w:sz w:val="18"/>
                <w:szCs w:val="18"/>
              </w:rPr>
              <w:fldChar w:fldCharType="end"/>
            </w:r>
            <w:r>
              <w:rPr>
                <w:rFonts w:hint="eastAsia" w:asciiTheme="minorEastAsia" w:hAnsiTheme="min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704" w:type="dxa"/>
            <w:shd w:val="solid" w:color="FFFFFF" w:fill="FFFFFF"/>
            <w:vAlign w:val="center"/>
          </w:tcPr>
          <w:p>
            <w:pPr>
              <w:spacing w:line="360" w:lineRule="auto"/>
              <w:jc w:val="left"/>
              <w:rPr>
                <w:rFonts w:asciiTheme="minorEastAsia" w:hAnsiTheme="minorEastAsia"/>
                <w:sz w:val="18"/>
                <w:szCs w:val="18"/>
              </w:rPr>
            </w:pPr>
            <w:r>
              <w:rPr>
                <w:rFonts w:hint="eastAsia" w:asciiTheme="minorEastAsia" w:hAnsiTheme="minorEastAsia"/>
                <w:sz w:val="18"/>
                <w:szCs w:val="18"/>
              </w:rPr>
              <w:t>【</w:t>
            </w:r>
            <w:r>
              <w:rPr>
                <w:rFonts w:hint="eastAsia" w:ascii="宋体" w:hAnsi="宋体" w:eastAsia="宋体" w:cs="宋体"/>
                <w:i w:val="0"/>
                <w:iCs w:val="0"/>
                <w:caps w:val="0"/>
                <w:color w:val="333333"/>
                <w:spacing w:val="0"/>
                <w:sz w:val="18"/>
                <w:szCs w:val="18"/>
                <w:shd w:val="clear" w:fill="DFE8F6"/>
              </w:rPr>
              <w:t>9K218030</w:t>
            </w:r>
            <w:r>
              <w:rPr>
                <w:rFonts w:hint="eastAsia" w:asciiTheme="minorEastAsia" w:hAnsiTheme="minor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704" w:type="dxa"/>
            <w:shd w:val="solid" w:color="FFFFFF" w:fill="FFFFFF"/>
          </w:tcPr>
          <w:p>
            <w:pPr>
              <w:spacing w:line="360" w:lineRule="auto"/>
              <w:jc w:val="left"/>
              <w:rPr>
                <w:rFonts w:ascii="宋体" w:hAnsi="宋体"/>
                <w:bCs/>
                <w:color w:val="000000" w:themeColor="text1"/>
                <w:sz w:val="18"/>
                <w:szCs w:val="18"/>
                <w14:textFill>
                  <w14:solidFill>
                    <w14:schemeClr w14:val="tx1"/>
                  </w14:solidFill>
                </w14:textFill>
              </w:rPr>
            </w:pPr>
            <w:r>
              <w:rPr>
                <w:rFonts w:hint="eastAsia" w:asciiTheme="minorEastAsia" w:hAnsiTheme="minorEastAsia"/>
                <w:sz w:val="18"/>
                <w:szCs w:val="18"/>
              </w:rPr>
              <w:t>【</w:t>
            </w:r>
            <w:r>
              <w:rPr>
                <w:rFonts w:hint="eastAsia" w:ascii="宋体" w:hAnsi="宋体" w:eastAsia="宋体" w:cs="宋体"/>
                <w:i w:val="0"/>
                <w:iCs w:val="0"/>
                <w:caps w:val="0"/>
                <w:color w:val="333333"/>
                <w:spacing w:val="0"/>
                <w:sz w:val="18"/>
                <w:szCs w:val="18"/>
                <w:shd w:val="clear" w:fill="DFE8F6"/>
              </w:rPr>
              <w:t>9K218030</w:t>
            </w:r>
            <w:r>
              <w:rPr>
                <w:rFonts w:hint="eastAsia" w:asciiTheme="minorEastAsia" w:hAnsiTheme="minorEastAsia"/>
                <w:sz w:val="18"/>
                <w:szCs w:val="18"/>
              </w:rPr>
              <w:t>】（适用【A】类份额）</w:t>
            </w:r>
          </w:p>
          <w:p>
            <w:pPr>
              <w:spacing w:line="360" w:lineRule="auto"/>
              <w:jc w:val="left"/>
              <w:rPr>
                <w:rFonts w:asciiTheme="minorEastAsia" w:hAnsiTheme="minorEastAsia"/>
                <w:sz w:val="18"/>
                <w:szCs w:val="18"/>
              </w:rPr>
            </w:pPr>
            <w:r>
              <w:rPr>
                <w:rFonts w:hint="eastAsia" w:ascii="宋体" w:hAnsi="宋体"/>
                <w:bCs/>
                <w:color w:val="000000" w:themeColor="text1"/>
                <w:sz w:val="18"/>
                <w:szCs w:val="18"/>
                <w14:textFill>
                  <w14:solidFill>
                    <w14:schemeClr w14:val="tx1"/>
                  </w14:solidFill>
                </w14:textFill>
              </w:rPr>
              <w:t>【</w:t>
            </w:r>
            <w:r>
              <w:rPr>
                <w:rFonts w:hint="eastAsia" w:ascii="宋体" w:hAnsi="宋体" w:eastAsia="宋体" w:cs="宋体"/>
                <w:i w:val="0"/>
                <w:iCs w:val="0"/>
                <w:caps w:val="0"/>
                <w:color w:val="333333"/>
                <w:spacing w:val="0"/>
                <w:sz w:val="18"/>
                <w:szCs w:val="18"/>
                <w:shd w:val="clear" w:fill="DFE8F6"/>
              </w:rPr>
              <w:t>9K218</w:t>
            </w:r>
            <w:r>
              <w:rPr>
                <w:rFonts w:hint="eastAsia" w:ascii="宋体" w:hAnsi="宋体" w:cs="宋体"/>
                <w:i w:val="0"/>
                <w:iCs w:val="0"/>
                <w:caps w:val="0"/>
                <w:color w:val="333333"/>
                <w:spacing w:val="0"/>
                <w:sz w:val="18"/>
                <w:szCs w:val="18"/>
                <w:shd w:val="clear" w:fill="DFE8F6"/>
                <w:lang w:val="en-US" w:eastAsia="zh-CN"/>
              </w:rPr>
              <w:t>1</w:t>
            </w:r>
            <w:r>
              <w:rPr>
                <w:rFonts w:hint="eastAsia" w:ascii="宋体" w:hAnsi="宋体" w:eastAsia="宋体" w:cs="宋体"/>
                <w:i w:val="0"/>
                <w:iCs w:val="0"/>
                <w:caps w:val="0"/>
                <w:color w:val="333333"/>
                <w:spacing w:val="0"/>
                <w:sz w:val="18"/>
                <w:szCs w:val="18"/>
                <w:shd w:val="clear" w:fill="DFE8F6"/>
              </w:rPr>
              <w:t>30</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70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.本产品设置不同的理财产品份额，每类理财产品份额以下内容可能单独设置：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704" w:type="dxa"/>
            <w:shd w:val="solid" w:color="FFFFFF" w:fill="FFFFFF"/>
            <w:vAlign w:val="center"/>
          </w:tcPr>
          <w:p>
            <w:pPr>
              <w:adjustRightInd w:val="0"/>
              <w:snapToGrid w:val="0"/>
              <w:spacing w:line="276"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、开放式、固定收益类、非保本浮动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70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开放式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704" w:type="dxa"/>
            <w:shd w:val="solid" w:color="FFFFFF" w:fill="FFFFFF"/>
            <w:vAlign w:val="center"/>
          </w:tcPr>
          <w:p>
            <w:pPr>
              <w:adjustRightInd w:val="0"/>
              <w:snapToGrid w:val="0"/>
              <w:spacing w:line="276"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70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70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宋体" w:hAnsi="宋体"/>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70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本产品</w:t>
            </w:r>
            <w:r>
              <w:rPr>
                <w:rFonts w:asciiTheme="majorEastAsia" w:hAnsiTheme="majorEastAsia" w:eastAsiaTheme="majorEastAsia"/>
                <w:bCs/>
                <w:color w:val="000000" w:themeColor="text1"/>
                <w:sz w:val="18"/>
                <w:szCs w:val="18"/>
                <w14:textFill>
                  <w14:solidFill>
                    <w14:schemeClr w14:val="tx1"/>
                  </w14:solidFill>
                </w14:textFill>
              </w:rPr>
              <w:t>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sz w:val="18"/>
                <w:szCs w:val="18"/>
              </w:rPr>
              <w:t>特别提示：当销售机构销售产品风险评级为</w:t>
            </w:r>
            <w:r>
              <w:rPr>
                <w:rFonts w:ascii="黑体" w:hAnsi="黑体" w:eastAsia="黑体"/>
                <w:sz w:val="18"/>
                <w:szCs w:val="18"/>
              </w:rPr>
              <w:t>R4</w:t>
            </w:r>
            <w:r>
              <w:rPr>
                <w:rFonts w:hint="eastAsia" w:ascii="黑体" w:hAnsi="黑体" w:eastAsia="黑体"/>
                <w:sz w:val="18"/>
                <w:szCs w:val="18"/>
              </w:rPr>
              <w:t>及</w:t>
            </w:r>
            <w:r>
              <w:rPr>
                <w:rFonts w:ascii="黑体" w:hAnsi="黑体" w:eastAsia="黑体"/>
                <w:sz w:val="18"/>
                <w:szCs w:val="18"/>
              </w:rPr>
              <w:t>以上</w:t>
            </w:r>
            <w:r>
              <w:rPr>
                <w:rFonts w:hint="eastAsia" w:ascii="黑体" w:hAnsi="黑体" w:eastAsia="黑体"/>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规模为【25】亿元，最小成立规模为【/】亿元。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p>
          <w:p>
            <w:pPr>
              <w:spacing w:line="360" w:lineRule="auto"/>
              <w:rPr>
                <w:rFonts w:cs="仿宋_GB2312" w:asciiTheme="majorEastAsia" w:hAnsiTheme="majorEastAsia" w:eastAsiaTheme="majorEastAsia"/>
                <w:kern w:val="0"/>
                <w:sz w:val="18"/>
                <w:szCs w:val="18"/>
              </w:rPr>
            </w:pPr>
            <w:r>
              <w:rPr>
                <w:rFonts w:hint="eastAsia" w:ascii="宋体" w:hAnsi="宋体"/>
                <w:bCs/>
                <w:sz w:val="18"/>
                <w:szCs w:val="18"/>
              </w:rPr>
              <w:t>■</w:t>
            </w:r>
            <w:r>
              <w:rPr>
                <w:rFonts w:hint="eastAsia" w:cs="仿宋_GB2312" w:asciiTheme="majorEastAsia" w:hAnsiTheme="majorEastAsia" w:eastAsiaTheme="majorEastAsia"/>
                <w:kern w:val="0"/>
                <w:sz w:val="18"/>
                <w:szCs w:val="18"/>
              </w:rPr>
              <w:t>无固定期限</w:t>
            </w:r>
          </w:p>
          <w:p>
            <w:pPr>
              <w:spacing w:line="360" w:lineRule="auto"/>
              <w:rPr>
                <w:rFonts w:cs="仿宋_GB2312" w:asciiTheme="majorEastAsia" w:hAnsiTheme="majorEastAsia" w:eastAsiaTheme="majorEastAsia"/>
                <w:kern w:val="0"/>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704" w:type="dxa"/>
            <w:shd w:val="solid" w:color="FFFFFF" w:fill="FFFFFF"/>
            <w:vAlign w:val="center"/>
          </w:tcPr>
          <w:p>
            <w:pPr>
              <w:spacing w:line="360" w:lineRule="auto"/>
              <w:rPr>
                <w:rFonts w:ascii="宋体" w:hAnsi="宋体"/>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【201</w:t>
            </w:r>
            <w:r>
              <w:rPr>
                <w:rFonts w:cs="Times New Roman" w:asciiTheme="minorEastAsia" w:hAnsiTheme="minorEastAsia"/>
                <w:sz w:val="18"/>
                <w:szCs w:val="18"/>
              </w:rPr>
              <w:t>9】年【</w:t>
            </w:r>
            <w:r>
              <w:rPr>
                <w:rFonts w:hint="eastAsia" w:cs="Times New Roman" w:asciiTheme="minorEastAsia" w:hAnsiTheme="minorEastAsia"/>
                <w:sz w:val="18"/>
                <w:szCs w:val="18"/>
                <w:lang w:val="en-US" w:eastAsia="zh-CN"/>
              </w:rPr>
              <w:t>02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20</w:t>
            </w:r>
            <w:r>
              <w:rPr>
                <w:rFonts w:hint="eastAsia" w:cs="Times New Roman" w:asciiTheme="minorEastAsia" w:hAnsiTheme="minorEastAsia"/>
                <w:sz w:val="18"/>
                <w:szCs w:val="18"/>
              </w:rPr>
              <w:t>】日</w:t>
            </w:r>
            <w:r>
              <w:rPr>
                <w:rFonts w:cs="Times New Roman" w:asciiTheme="minorEastAsia" w:hAnsiTheme="minorEastAsia"/>
                <w:sz w:val="18"/>
                <w:szCs w:val="18"/>
              </w:rPr>
              <w:t>11</w:t>
            </w:r>
            <w:r>
              <w:rPr>
                <w:rFonts w:asciiTheme="minorEastAsia" w:hAnsiTheme="minorEastAsia"/>
                <w:sz w:val="18"/>
                <w:szCs w:val="18"/>
              </w:rPr>
              <w:t>:00</w:t>
            </w:r>
            <w:r>
              <w:rPr>
                <w:rFonts w:hint="eastAsia" w:cs="仿宋_GB2312" w:asciiTheme="minorEastAsia" w:hAnsiTheme="minorEastAsia"/>
                <w:sz w:val="18"/>
                <w:szCs w:val="18"/>
              </w:rPr>
              <w:t>至</w:t>
            </w:r>
            <w:r>
              <w:rPr>
                <w:rFonts w:hint="eastAsia" w:cs="Times New Roman" w:asciiTheme="minorEastAsia" w:hAnsiTheme="minorEastAsia"/>
                <w:sz w:val="18"/>
                <w:szCs w:val="18"/>
              </w:rPr>
              <w:t>【201</w:t>
            </w:r>
            <w:r>
              <w:rPr>
                <w:rFonts w:cs="Times New Roman" w:asciiTheme="minorEastAsia" w:hAnsiTheme="minorEastAsia"/>
                <w:sz w:val="18"/>
                <w:szCs w:val="18"/>
              </w:rPr>
              <w:t>9】年【</w:t>
            </w:r>
            <w:r>
              <w:rPr>
                <w:rFonts w:hint="eastAsia" w:cs="Times New Roman" w:asciiTheme="minorEastAsia" w:hAnsiTheme="minorEastAsia"/>
                <w:sz w:val="18"/>
                <w:szCs w:val="18"/>
                <w:lang w:val="en-US" w:eastAsia="zh-CN"/>
              </w:rPr>
              <w:t>02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26</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15:45</w:t>
            </w:r>
            <w:r>
              <w:rPr>
                <w:rFonts w:hint="eastAsia" w:ascii="宋体" w:hAnsi="宋体"/>
                <w:bCs/>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asciiTheme="minorEastAsia" w:hAnsiTheme="minorEastAsia"/>
                <w:bCs/>
                <w:sz w:val="18"/>
                <w:szCs w:val="18"/>
              </w:rPr>
              <w:t>【201</w:t>
            </w:r>
            <w:r>
              <w:rPr>
                <w:rFonts w:asciiTheme="minorEastAsia" w:hAnsiTheme="minorEastAsia"/>
                <w:bCs/>
                <w:sz w:val="18"/>
                <w:szCs w:val="18"/>
              </w:rPr>
              <w:t>9】年【</w:t>
            </w:r>
            <w:r>
              <w:rPr>
                <w:rFonts w:hint="eastAsia" w:asciiTheme="minorEastAsia" w:hAnsiTheme="minorEastAsia"/>
                <w:bCs/>
                <w:sz w:val="18"/>
                <w:szCs w:val="18"/>
                <w:lang w:val="en-US" w:eastAsia="zh-CN"/>
              </w:rPr>
              <w:t>02</w:t>
            </w:r>
            <w:r>
              <w:rPr>
                <w:rFonts w:hint="eastAsia" w:asciiTheme="minorEastAsia" w:hAnsiTheme="minorEastAsia"/>
                <w:bCs/>
                <w:sz w:val="18"/>
                <w:szCs w:val="18"/>
              </w:rPr>
              <w:t>】月【</w:t>
            </w:r>
            <w:r>
              <w:rPr>
                <w:rFonts w:hint="eastAsia" w:asciiTheme="minorEastAsia" w:hAnsiTheme="minorEastAsia"/>
                <w:bCs/>
                <w:sz w:val="18"/>
                <w:szCs w:val="18"/>
                <w:lang w:val="en-US" w:eastAsia="zh-CN"/>
              </w:rPr>
              <w:t>27</w:t>
            </w:r>
            <w:r>
              <w:rPr>
                <w:rFonts w:hint="eastAsia" w:asciiTheme="minorEastAsia" w:hAnsiTheme="minorEastAsia"/>
                <w:bCs/>
                <w:sz w:val="18"/>
                <w:szCs w:val="18"/>
              </w:rPr>
              <w:t>】日（遇节假日顺延）。</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inorEastAsia" w:hAnsiTheme="minorEastAsia"/>
                <w:b/>
                <w:bCs/>
                <w:sz w:val="18"/>
                <w:szCs w:val="18"/>
              </w:rPr>
            </w:pPr>
            <w:r>
              <w:rPr>
                <w:rFonts w:hint="eastAsia" w:asciiTheme="minorEastAsia" w:hAnsiTheme="minorEastAsia"/>
                <w:b/>
                <w:bCs/>
                <w:sz w:val="18"/>
                <w:szCs w:val="18"/>
              </w:rPr>
              <w:t>终止日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w:t>
            </w:r>
            <w:r>
              <w:rPr>
                <w:rFonts w:cs="Times New Roman" w:asciiTheme="minorEastAsia" w:hAnsiTheme="minorEastAsia"/>
                <w:sz w:val="18"/>
                <w:szCs w:val="18"/>
              </w:rPr>
              <w:t>】年【</w:t>
            </w:r>
            <w:r>
              <w:rPr>
                <w:rFonts w:hint="eastAsia" w:cs="Times New Roman" w:asciiTheme="minorEastAsia" w:hAnsiTheme="minorEastAsia"/>
                <w:sz w:val="18"/>
                <w:szCs w:val="18"/>
              </w:rPr>
              <w:t>/】月【/】日（遇节假日顺延）</w:t>
            </w:r>
            <w:r>
              <w:rPr>
                <w:rFonts w:hint="eastAsia" w:asciiTheme="minorEastAsia" w:hAnsiTheme="minorEastAsia"/>
                <w:bCs/>
                <w:sz w:val="18"/>
                <w:szCs w:val="18"/>
              </w:rPr>
              <w:t>。</w:t>
            </w:r>
          </w:p>
          <w:p>
            <w:pPr>
              <w:spacing w:line="360" w:lineRule="auto"/>
              <w:rPr>
                <w:rFonts w:asciiTheme="minorEastAsia" w:hAnsiTheme="minorEastAsia"/>
                <w:bCs/>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投资</w:t>
            </w:r>
            <w:r>
              <w:rPr>
                <w:rFonts w:asciiTheme="majorEastAsia" w:hAnsiTheme="majorEastAsia" w:eastAsiaTheme="majorEastAsia"/>
                <w:b/>
                <w:sz w:val="18"/>
                <w:szCs w:val="18"/>
              </w:rPr>
              <w:t>周期</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inorEastAsia" w:hAnsiTheme="minorEastAsia" w:eastAsiaTheme="minorEastAsia"/>
                <w:bCs/>
                <w:color w:val="000000" w:themeColor="text1"/>
                <w:sz w:val="18"/>
                <w:szCs w:val="18"/>
                <w14:textFill>
                  <w14:solidFill>
                    <w14:schemeClr w14:val="tx1"/>
                  </w14:solidFill>
                </w14:textFill>
              </w:rPr>
              <w:t>1</w:t>
            </w:r>
            <w:r>
              <w:rPr>
                <w:rFonts w:asciiTheme="majorEastAsia" w:hAnsiTheme="majorEastAsia" w:eastAsiaTheme="majorEastAsia"/>
                <w:bCs/>
                <w:color w:val="000000" w:themeColor="text1"/>
                <w:sz w:val="18"/>
                <w:szCs w:val="18"/>
                <w14:textFill>
                  <w14:solidFill>
                    <w14:schemeClr w14:val="tx1"/>
                  </w14:solidFill>
                </w14:textFill>
              </w:rPr>
              <w:t>.投资周期的设置</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1）</w:t>
            </w:r>
            <w:r>
              <w:rPr>
                <w:rFonts w:hint="eastAsia" w:asciiTheme="majorEastAsia" w:hAnsiTheme="majorEastAsia" w:eastAsiaTheme="majorEastAsia"/>
                <w:bCs/>
                <w:color w:val="000000" w:themeColor="text1"/>
                <w:sz w:val="18"/>
                <w:szCs w:val="18"/>
                <w14:textFill>
                  <w14:solidFill>
                    <w14:schemeClr w14:val="tx1"/>
                  </w14:solidFill>
                </w14:textFill>
              </w:rPr>
              <w:t>投资周期指</w:t>
            </w:r>
            <w:r>
              <w:rPr>
                <w:rFonts w:hint="eastAsia" w:asciiTheme="minorEastAsia" w:hAnsiTheme="minorEastAsia" w:eastAsiaTheme="minorEastAsia"/>
                <w:bCs/>
                <w:color w:val="000000" w:themeColor="text1"/>
                <w:sz w:val="18"/>
                <w:szCs w:val="18"/>
                <w14:textFill>
                  <w14:solidFill>
                    <w14:schemeClr w14:val="tx1"/>
                  </w14:solidFill>
                </w14:textFill>
              </w:rPr>
              <w:t>投资者</w:t>
            </w:r>
            <w:r>
              <w:rPr>
                <w:rFonts w:asciiTheme="minorEastAsia" w:hAnsiTheme="minorEastAsia" w:eastAsiaTheme="minorEastAsia"/>
                <w:bCs/>
                <w:color w:val="000000" w:themeColor="text1"/>
                <w:sz w:val="18"/>
                <w:szCs w:val="18"/>
                <w14:textFill>
                  <w14:solidFill>
                    <w14:schemeClr w14:val="tx1"/>
                  </w14:solidFill>
                </w14:textFill>
              </w:rPr>
              <w:t>持有理财产品份额</w:t>
            </w:r>
            <w:r>
              <w:rPr>
                <w:rFonts w:hint="eastAsia" w:asciiTheme="minorEastAsia" w:hAnsiTheme="minorEastAsia" w:eastAsiaTheme="minorEastAsia"/>
                <w:bCs/>
                <w:color w:val="000000" w:themeColor="text1"/>
                <w:sz w:val="18"/>
                <w:szCs w:val="18"/>
                <w14:textFill>
                  <w14:solidFill>
                    <w14:schemeClr w14:val="tx1"/>
                  </w14:solidFill>
                </w14:textFill>
              </w:rPr>
              <w:t>所对应的理财资金由产品管理人进行投资运作的一段完整期间。</w:t>
            </w:r>
          </w:p>
          <w:p>
            <w:pPr>
              <w:spacing w:line="360" w:lineRule="auto"/>
              <w:rPr>
                <w:rFonts w:cs="仿宋_GB2312"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（2）每一个投资周期：包含投资者持有理财产品份额的认购确认日或申购确认日至该产品份额的最近一个赎回确认日或产品终止日的期间</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（3</w:t>
            </w:r>
            <w:r>
              <w:rPr>
                <w:rFonts w:asciiTheme="minorEastAsia" w:hAnsiTheme="minorEastAsia" w:eastAsiaTheme="min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正常情况下，本产品的一个投资周期为【12个月】</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投资周期存在长于或短于【12个月】的可能，投资者具体投资周期以本产品说明书“申购</w:t>
            </w:r>
            <w:r>
              <w:rPr>
                <w:rFonts w:asciiTheme="majorEastAsia" w:hAnsiTheme="majorEastAsia" w:eastAsiaTheme="majorEastAsia"/>
                <w:bCs/>
                <w:color w:val="000000" w:themeColor="text1"/>
                <w:sz w:val="18"/>
                <w:szCs w:val="18"/>
                <w14:textFill>
                  <w14:solidFill>
                    <w14:schemeClr w14:val="tx1"/>
                  </w14:solidFill>
                </w14:textFill>
              </w:rPr>
              <w:t>/赎回安排</w:t>
            </w:r>
            <w:r>
              <w:rPr>
                <w:rFonts w:hint="eastAsia" w:asciiTheme="majorEastAsia" w:hAnsiTheme="majorEastAsia" w:eastAsiaTheme="majorEastAsia"/>
                <w:bCs/>
                <w:color w:val="000000" w:themeColor="text1"/>
                <w:sz w:val="18"/>
                <w:szCs w:val="18"/>
                <w14:textFill>
                  <w14:solidFill>
                    <w14:schemeClr w14:val="tx1"/>
                  </w14:solidFill>
                </w14:textFill>
              </w:rPr>
              <w:t>”所载明的天数为准。投资周期终止日如遇非工作日则产品管理人做相应调整。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2.投资周期的参与</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1）本产品成立前，投资者可通过认购方式参与本产品的第一个投资周期。</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cs="仿宋_GB2312" w:asciiTheme="majorEastAsia" w:hAnsiTheme="majorEastAsia" w:eastAsiaTheme="majorEastAsia"/>
                <w:color w:val="000000" w:themeColor="text1"/>
                <w:kern w:val="0"/>
                <w:sz w:val="18"/>
                <w:szCs w:val="18"/>
                <w14:textFill>
                  <w14:solidFill>
                    <w14:schemeClr w14:val="tx1"/>
                  </w14:solidFill>
                </w14:textFill>
              </w:rPr>
              <w:t>2）本产品成立后，投资者可通过预约申购方式参与本产品的不同投资周期。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本产品</w:t>
            </w:r>
            <w:r>
              <w:rPr>
                <w:rFonts w:cs="仿宋_GB2312" w:asciiTheme="majorEastAsia" w:hAnsiTheme="majorEastAsia" w:eastAsiaTheme="majorEastAsia"/>
                <w:color w:val="000000" w:themeColor="text1"/>
                <w:kern w:val="0"/>
                <w:sz w:val="18"/>
                <w:szCs w:val="18"/>
                <w14:textFill>
                  <w14:solidFill>
                    <w14:schemeClr w14:val="tx1"/>
                  </w14:solidFill>
                </w14:textFill>
              </w:rPr>
              <w:t>成立后管理人可根据募集情况设置预约申购期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cs="仿宋_GB2312" w:asciiTheme="majorEastAsia" w:hAnsiTheme="majorEastAsia" w:eastAsiaTheme="majorEastAsia"/>
                <w:color w:val="000000" w:themeColor="text1"/>
                <w:kern w:val="0"/>
                <w:sz w:val="18"/>
                <w:szCs w:val="18"/>
                <w14:textFill>
                  <w14:solidFill>
                    <w14:schemeClr w14:val="tx1"/>
                  </w14:solidFill>
                </w14:textFill>
              </w:rPr>
              <w:t>在理财产品运作一个完整的投资周期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结束前后，</w:t>
            </w:r>
            <w:r>
              <w:rPr>
                <w:rFonts w:cs="仿宋_GB2312" w:asciiTheme="majorEastAsia" w:hAnsiTheme="majorEastAsia" w:eastAsiaTheme="majorEastAsia"/>
                <w:color w:val="000000" w:themeColor="text1"/>
                <w:kern w:val="0"/>
                <w:sz w:val="18"/>
                <w:szCs w:val="18"/>
                <w14:textFill>
                  <w14:solidFill>
                    <w14:schemeClr w14:val="tx1"/>
                  </w14:solidFill>
                </w14:textFill>
              </w:rPr>
              <w:t>管理人可设置预约申购期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hint="eastAsia" w:ascii="宋体" w:hAnsi="宋体" w:cs="仿宋_GB2312"/>
                <w:kern w:val="0"/>
                <w:sz w:val="18"/>
                <w:szCs w:val="18"/>
              </w:rPr>
              <w:t>投资者可在预约申购期内提交预约申购申请</w:t>
            </w:r>
            <w:r>
              <w:rPr>
                <w:rFonts w:hint="eastAsia" w:asciiTheme="minorEastAsia" w:hAnsiTheme="minorEastAsia" w:eastAsiaTheme="minorEastAsia"/>
                <w:bCs/>
                <w:sz w:val="18"/>
                <w:szCs w:val="18"/>
              </w:rPr>
              <w:t>。</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3.投资周期的退出</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（1）本产品成立后，投资者可通过预约赎回方式退出本产品的投资周期。在</w:t>
            </w:r>
            <w:r>
              <w:rPr>
                <w:rFonts w:asciiTheme="minorEastAsia" w:hAnsiTheme="minorEastAsia" w:eastAsiaTheme="minorEastAsia"/>
                <w:bCs/>
                <w:color w:val="000000" w:themeColor="text1"/>
                <w:sz w:val="18"/>
                <w:szCs w:val="18"/>
                <w14:textFill>
                  <w14:solidFill>
                    <w14:schemeClr w14:val="tx1"/>
                  </w14:solidFill>
                </w14:textFill>
              </w:rPr>
              <w:t>投资者持有的理财产品份额</w:t>
            </w:r>
            <w:r>
              <w:rPr>
                <w:rFonts w:hint="eastAsia" w:asciiTheme="minorEastAsia" w:hAnsiTheme="minorEastAsia" w:eastAsiaTheme="minorEastAsia"/>
                <w:bCs/>
                <w:color w:val="000000" w:themeColor="text1"/>
                <w:sz w:val="18"/>
                <w:szCs w:val="18"/>
                <w14:textFill>
                  <w14:solidFill>
                    <w14:schemeClr w14:val="tx1"/>
                  </w14:solidFill>
                </w14:textFill>
              </w:rPr>
              <w:t>在运作一个完整的投资周期结束前，投资者可在预约赎回期内</w:t>
            </w:r>
            <w:r>
              <w:rPr>
                <w:rFonts w:asciiTheme="minorEastAsia" w:hAnsiTheme="minorEastAsia" w:eastAsiaTheme="minorEastAsia"/>
                <w:bCs/>
                <w:color w:val="000000" w:themeColor="text1"/>
                <w:sz w:val="18"/>
                <w:szCs w:val="18"/>
                <w14:textFill>
                  <w14:solidFill>
                    <w14:schemeClr w14:val="tx1"/>
                  </w14:solidFill>
                </w14:textFill>
              </w:rPr>
              <w:t>提出预约</w:t>
            </w:r>
            <w:r>
              <w:rPr>
                <w:rFonts w:hint="eastAsia" w:asciiTheme="minorEastAsia" w:hAnsiTheme="minorEastAsia" w:eastAsiaTheme="minorEastAsia"/>
                <w:bCs/>
                <w:color w:val="000000" w:themeColor="text1"/>
                <w:sz w:val="18"/>
                <w:szCs w:val="18"/>
                <w14:textFill>
                  <w14:solidFill>
                    <w14:schemeClr w14:val="tx1"/>
                  </w14:solidFill>
                </w14:textFill>
              </w:rPr>
              <w:t>赎回申请，如未赎回将进入下一个投资周期继续运作。</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（2）在</w:t>
            </w:r>
            <w:r>
              <w:rPr>
                <w:rFonts w:asciiTheme="minorEastAsia" w:hAnsiTheme="minorEastAsia" w:eastAsiaTheme="minorEastAsia"/>
                <w:bCs/>
                <w:color w:val="000000" w:themeColor="text1"/>
                <w:sz w:val="18"/>
                <w:szCs w:val="18"/>
                <w14:textFill>
                  <w14:solidFill>
                    <w14:schemeClr w14:val="tx1"/>
                  </w14:solidFill>
                </w14:textFill>
              </w:rPr>
              <w:t>投资者持有的理财产品份额</w:t>
            </w:r>
            <w:r>
              <w:rPr>
                <w:rFonts w:hint="eastAsia" w:asciiTheme="minorEastAsia" w:hAnsiTheme="minorEastAsia" w:eastAsiaTheme="minorEastAsia"/>
                <w:bCs/>
                <w:color w:val="000000" w:themeColor="text1"/>
                <w:sz w:val="18"/>
                <w:szCs w:val="18"/>
                <w14:textFill>
                  <w14:solidFill>
                    <w14:schemeClr w14:val="tx1"/>
                  </w14:solidFill>
                </w14:textFill>
              </w:rPr>
              <w:t>在运作一个完整的投资周期后，投资者</w:t>
            </w:r>
            <w:r>
              <w:rPr>
                <w:rFonts w:asciiTheme="minorEastAsia" w:hAnsiTheme="minorEastAsia" w:eastAsiaTheme="minorEastAsia"/>
                <w:bCs/>
                <w:color w:val="000000" w:themeColor="text1"/>
                <w:sz w:val="18"/>
                <w:szCs w:val="18"/>
                <w14:textFill>
                  <w14:solidFill>
                    <w14:schemeClr w14:val="tx1"/>
                  </w14:solidFill>
                </w14:textFill>
              </w:rPr>
              <w:t>也可以继续</w:t>
            </w:r>
            <w:r>
              <w:rPr>
                <w:rFonts w:hint="eastAsia" w:asciiTheme="minorEastAsia" w:hAnsiTheme="minorEastAsia" w:eastAsiaTheme="minorEastAsia"/>
                <w:bCs/>
                <w:color w:val="000000" w:themeColor="text1"/>
                <w:sz w:val="18"/>
                <w:szCs w:val="18"/>
                <w14:textFill>
                  <w14:solidFill>
                    <w14:schemeClr w14:val="tx1"/>
                  </w14:solidFill>
                </w14:textFill>
              </w:rPr>
              <w:t>持有理财产品份额进入</w:t>
            </w:r>
            <w:r>
              <w:rPr>
                <w:rFonts w:asciiTheme="minorEastAsia" w:hAnsiTheme="minorEastAsia" w:eastAsiaTheme="minorEastAsia"/>
                <w:bCs/>
                <w:color w:val="000000" w:themeColor="text1"/>
                <w:sz w:val="18"/>
                <w:szCs w:val="18"/>
                <w14:textFill>
                  <w14:solidFill>
                    <w14:schemeClr w14:val="tx1"/>
                  </w14:solidFill>
                </w14:textFill>
              </w:rPr>
              <w:t>下一个投资周期</w:t>
            </w:r>
            <w:r>
              <w:rPr>
                <w:rFonts w:hint="eastAsia" w:asciiTheme="minorEastAsia" w:hAnsiTheme="minorEastAsia" w:eastAsiaTheme="minorEastAsia"/>
                <w:bCs/>
                <w:color w:val="000000" w:themeColor="text1"/>
                <w:sz w:val="18"/>
                <w:szCs w:val="18"/>
                <w14:textFill>
                  <w14:solidFill>
                    <w14:schemeClr w14:val="tx1"/>
                  </w14:solidFill>
                </w14:textFill>
              </w:rPr>
              <w:t>。</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（3）</w:t>
            </w:r>
            <w:r>
              <w:rPr>
                <w:rFonts w:hint="eastAsia" w:asciiTheme="majorEastAsia" w:hAnsiTheme="majorEastAsia" w:eastAsiaTheme="majorEastAsia"/>
                <w:bCs/>
                <w:sz w:val="18"/>
                <w:szCs w:val="18"/>
              </w:rPr>
              <w:t>如果投资者在本产品提前终止时仍有未赎回的份额，则产品管理人将按照《产品说明书》“第十条 理财产品的终止与清算（二）理财产品的清算”条款处理。</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4</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投资周期的调整</w:t>
            </w:r>
          </w:p>
          <w:p>
            <w:pPr>
              <w:spacing w:line="360" w:lineRule="auto"/>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产品管理人有权调整投资周期，调整后的投资周期以产品管理人发布的公告为准。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宋体" w:hAnsi="宋体"/>
                <w:b/>
                <w:bCs/>
                <w:kern w:val="0"/>
                <w:sz w:val="18"/>
                <w:szCs w:val="18"/>
              </w:rPr>
              <w:t>申购/赎回安排</w:t>
            </w:r>
          </w:p>
        </w:tc>
        <w:tc>
          <w:tcPr>
            <w:tcW w:w="7704" w:type="dxa"/>
            <w:shd w:val="solid" w:color="FFFFFF" w:fill="FFFFFF"/>
          </w:tcPr>
          <w:p>
            <w:pPr>
              <w:spacing w:line="360" w:lineRule="auto"/>
              <w:rPr>
                <w:rFonts w:cs="Times New Roman" w:asciiTheme="minorEastAsia" w:hAnsiTheme="minorEastAsia"/>
                <w:sz w:val="18"/>
                <w:szCs w:val="18"/>
              </w:rPr>
            </w:pPr>
            <w:r>
              <w:rPr>
                <w:rFonts w:hint="eastAsia" w:cs="仿宋_GB2312" w:asciiTheme="majorEastAsia" w:hAnsiTheme="majorEastAsia" w:eastAsiaTheme="majorEastAsia"/>
                <w:color w:val="000000" w:themeColor="text1"/>
                <w:kern w:val="0"/>
                <w:sz w:val="18"/>
                <w:szCs w:val="18"/>
                <w14:textFill>
                  <w14:solidFill>
                    <w14:schemeClr w14:val="tx1"/>
                  </w14:solidFill>
                </w14:textFill>
              </w:rPr>
              <w:t>1.</w:t>
            </w:r>
            <w:r>
              <w:rPr>
                <w:rFonts w:hint="eastAsia" w:cs="Times New Roman" w:asciiTheme="minorEastAsia" w:hAnsiTheme="minorEastAsia"/>
                <w:sz w:val="18"/>
                <w:szCs w:val="18"/>
              </w:rPr>
              <w:t>本产品成立后，开放多个预约申购/赎回期。</w:t>
            </w:r>
          </w:p>
          <w:p>
            <w:pPr>
              <w:spacing w:line="360" w:lineRule="auto"/>
              <w:rPr>
                <w:rFonts w:asciiTheme="majorEastAsia" w:hAnsi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2</w:t>
            </w:r>
            <w:r>
              <w:rPr>
                <w:rFonts w:cs="Times New Roman" w:asciiTheme="minorEastAsia" w:hAnsiTheme="minorEastAsia"/>
                <w:sz w:val="18"/>
                <w:szCs w:val="18"/>
              </w:rPr>
              <w:t>.</w:t>
            </w:r>
            <w:r>
              <w:rPr>
                <w:rFonts w:hint="eastAsia" w:cs="Times New Roman" w:asciiTheme="minorEastAsia" w:hAnsiTheme="minorEastAsia"/>
                <w:sz w:val="18"/>
                <w:szCs w:val="18"/>
              </w:rPr>
              <w:t>预约申购安排</w:t>
            </w:r>
          </w:p>
          <w:p>
            <w:pPr>
              <w:spacing w:line="360" w:lineRule="auto"/>
              <w:rPr>
                <w:rFonts w:cs="Times New Roman" w:asciiTheme="minorEastAsia" w:hAnsiTheme="minorEastAsia"/>
                <w:sz w:val="18"/>
                <w:szCs w:val="18"/>
              </w:rPr>
            </w:pPr>
            <w:r>
              <w:rPr>
                <w:rFonts w:hint="eastAsia" w:cs="Times New Roman" w:asciiTheme="minorEastAsia" w:hAnsiTheme="minorEastAsia"/>
                <w:sz w:val="18"/>
                <w:szCs w:val="18"/>
              </w:rPr>
              <w:t>（1）申购的时间</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□预约申购期：【2024】年【02】月【07】日11:00至【2024】年【02】月【20】日15:</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00</w:t>
            </w:r>
            <w:r>
              <w:rPr>
                <w:rFonts w:hint="eastAsia" w:asciiTheme="majorEastAsia" w:hAnsiTheme="majorEastAsia" w:eastAsiaTheme="majorEastAsia"/>
                <w:bCs/>
                <w:color w:val="000000" w:themeColor="text1"/>
                <w:sz w:val="18"/>
                <w:szCs w:val="18"/>
                <w14:textFill>
                  <w14:solidFill>
                    <w14:schemeClr w14:val="tx1"/>
                  </w14:solidFill>
                </w14:textFill>
              </w:rPr>
              <w:t>；投资周期【364】天；</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□预约申购期：【2024】年【02】月【21】日11:00至【2024】年【02】月【27】日15:</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00</w:t>
            </w:r>
            <w:r>
              <w:rPr>
                <w:rFonts w:hint="eastAsia" w:asciiTheme="majorEastAsia" w:hAnsiTheme="majorEastAsia" w:eastAsiaTheme="majorEastAsia"/>
                <w:bCs/>
                <w:color w:val="000000" w:themeColor="text1"/>
                <w:sz w:val="18"/>
                <w:szCs w:val="18"/>
                <w14:textFill>
                  <w14:solidFill>
                    <w14:schemeClr w14:val="tx1"/>
                  </w14:solidFill>
                </w14:textFill>
              </w:rPr>
              <w:t>；投资周期【357】天；</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□预约申购期：【2024】年【02】月【28】日11:00至【2024】年【03】月【05】日15:</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00</w:t>
            </w:r>
            <w:r>
              <w:rPr>
                <w:rFonts w:hint="eastAsia" w:asciiTheme="majorEastAsia" w:hAnsiTheme="majorEastAsia" w:eastAsiaTheme="majorEastAsia"/>
                <w:bCs/>
                <w:color w:val="000000" w:themeColor="text1"/>
                <w:sz w:val="18"/>
                <w:szCs w:val="18"/>
                <w14:textFill>
                  <w14:solidFill>
                    <w14:schemeClr w14:val="tx1"/>
                  </w14:solidFill>
                </w14:textFill>
              </w:rPr>
              <w:t>；投资周期【350】天；</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□预约申购期：【2024】年【03】月【06】日11:00至【2024】年【03】月【12】日15:</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00</w:t>
            </w:r>
            <w:r>
              <w:rPr>
                <w:rFonts w:hint="eastAsia" w:asciiTheme="majorEastAsia" w:hAnsiTheme="majorEastAsia" w:eastAsiaTheme="majorEastAsia"/>
                <w:bCs/>
                <w:color w:val="000000" w:themeColor="text1"/>
                <w:sz w:val="18"/>
                <w:szCs w:val="18"/>
                <w14:textFill>
                  <w14:solidFill>
                    <w14:schemeClr w14:val="tx1"/>
                  </w14:solidFill>
                </w14:textFill>
              </w:rPr>
              <w:t>；投资周期【343】天；</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（2）申购的确认</w:t>
            </w:r>
          </w:p>
          <w:tbl>
            <w:tblPr>
              <w:tblStyle w:val="10"/>
              <w:tblW w:w="719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03"/>
              <w:gridCol w:w="2551"/>
              <w:gridCol w:w="1276"/>
              <w:gridCol w:w="17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8" w:hRule="atLeast"/>
                <w:jc w:val="center"/>
              </w:trPr>
              <w:tc>
                <w:tcPr>
                  <w:tcW w:w="1603" w:type="dxa"/>
                  <w:vAlign w:val="center"/>
                </w:tcPr>
                <w:p>
                  <w:pPr>
                    <w:pStyle w:val="17"/>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预约申购申请日</w:t>
                  </w:r>
                </w:p>
              </w:tc>
              <w:tc>
                <w:tcPr>
                  <w:tcW w:w="2551" w:type="dxa"/>
                  <w:vAlign w:val="center"/>
                </w:tcPr>
                <w:p>
                  <w:pPr>
                    <w:pStyle w:val="17"/>
                    <w:spacing w:line="360" w:lineRule="auto"/>
                    <w:jc w:val="center"/>
                    <w:rPr>
                      <w:rFonts w:cs="Times New Roman" w:asciiTheme="minorEastAsia" w:hAnsiTheme="minorEastAsia"/>
                      <w:b/>
                      <w:bCs/>
                      <w:color w:val="auto"/>
                      <w:sz w:val="18"/>
                      <w:szCs w:val="18"/>
                    </w:rPr>
                  </w:pPr>
                  <w:r>
                    <w:rPr>
                      <w:rFonts w:hint="eastAsia" w:cs="Times New Roman" w:asciiTheme="minorEastAsia" w:hAnsiTheme="minorEastAsia"/>
                      <w:b/>
                      <w:bCs/>
                      <w:color w:val="auto"/>
                      <w:sz w:val="18"/>
                      <w:szCs w:val="18"/>
                    </w:rPr>
                    <w:t>申购申请日和申购日</w:t>
                  </w:r>
                </w:p>
              </w:tc>
              <w:tc>
                <w:tcPr>
                  <w:tcW w:w="1276" w:type="dxa"/>
                  <w:vAlign w:val="center"/>
                </w:tcPr>
                <w:p>
                  <w:pPr>
                    <w:pStyle w:val="17"/>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申购确认日</w:t>
                  </w:r>
                </w:p>
              </w:tc>
              <w:tc>
                <w:tcPr>
                  <w:tcW w:w="1760" w:type="dxa"/>
                  <w:vAlign w:val="center"/>
                </w:tcPr>
                <w:p>
                  <w:pPr>
                    <w:pStyle w:val="17"/>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w:t>
                  </w:r>
                  <w:r>
                    <w:rPr>
                      <w:rFonts w:cs="Times New Roman" w:asciiTheme="minorEastAsia" w:hAnsiTheme="minorEastAsia"/>
                      <w:b/>
                      <w:bCs/>
                      <w:color w:val="auto"/>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57" w:hRule="atLeast"/>
                <w:jc w:val="center"/>
              </w:trPr>
              <w:tc>
                <w:tcPr>
                  <w:tcW w:w="1603" w:type="dxa"/>
                </w:tcPr>
                <w:p>
                  <w:pPr>
                    <w:pStyle w:val="17"/>
                    <w:spacing w:line="360" w:lineRule="auto"/>
                    <w:jc w:val="left"/>
                    <w:rPr>
                      <w:rFonts w:asciiTheme="minorEastAsia" w:hAnsiTheme="minorEastAsia"/>
                      <w:bCs/>
                      <w:color w:val="auto"/>
                      <w:kern w:val="2"/>
                      <w:sz w:val="18"/>
                      <w:szCs w:val="18"/>
                    </w:rPr>
                  </w:pPr>
                  <w:r>
                    <w:rPr>
                      <w:rFonts w:hint="eastAsia" w:cs="Times New Roman" w:asciiTheme="minorEastAsia" w:hAnsiTheme="minorEastAsia" w:eastAsiaTheme="minorEastAsia"/>
                      <w:color w:val="auto"/>
                      <w:sz w:val="18"/>
                      <w:szCs w:val="18"/>
                    </w:rPr>
                    <w:t>为预约申购期内任意一日。</w:t>
                  </w:r>
                </w:p>
              </w:tc>
              <w:tc>
                <w:tcPr>
                  <w:tcW w:w="2551" w:type="dxa"/>
                </w:tcPr>
                <w:p>
                  <w:pPr>
                    <w:pStyle w:val="17"/>
                    <w:spacing w:line="360" w:lineRule="auto"/>
                    <w:jc w:val="both"/>
                    <w:rPr>
                      <w:rFonts w:ascii="黑体" w:hAnsi="黑体" w:eastAsia="黑体" w:cs="Times New Roman"/>
                      <w:color w:val="auto"/>
                      <w:sz w:val="18"/>
                      <w:szCs w:val="18"/>
                    </w:rPr>
                  </w:pPr>
                  <w:r>
                    <w:rPr>
                      <w:rFonts w:hint="eastAsia" w:cs="Times New Roman" w:asciiTheme="minorEastAsia" w:hAnsiTheme="minorEastAsia" w:eastAsiaTheme="minorEastAsia"/>
                      <w:color w:val="auto"/>
                      <w:sz w:val="18"/>
                      <w:szCs w:val="18"/>
                    </w:rPr>
                    <w:t>申购申请日：预约申购期内最后一个工作日为申购申请日</w:t>
                  </w:r>
                  <w:r>
                    <w:rPr>
                      <w:rFonts w:hint="eastAsia" w:ascii="黑体" w:hAnsi="黑体" w:eastAsia="黑体" w:cs="Times New Roman"/>
                      <w:color w:val="auto"/>
                      <w:sz w:val="18"/>
                      <w:szCs w:val="18"/>
                    </w:rPr>
                    <w:t>（注：在申购申请日，投资者的预约申购申请自动转化为申购申请）。</w:t>
                  </w:r>
                </w:p>
                <w:p>
                  <w:pPr>
                    <w:pStyle w:val="17"/>
                    <w:spacing w:line="360" w:lineRule="auto"/>
                    <w:jc w:val="both"/>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申购</w:t>
                  </w:r>
                  <w:r>
                    <w:rPr>
                      <w:rFonts w:cs="Times New Roman" w:asciiTheme="minorEastAsia" w:hAnsiTheme="minorEastAsia" w:eastAsiaTheme="minorEastAsia"/>
                      <w:color w:val="auto"/>
                      <w:sz w:val="18"/>
                      <w:szCs w:val="18"/>
                    </w:rPr>
                    <w:t>日</w:t>
                  </w:r>
                  <w:r>
                    <w:rPr>
                      <w:rFonts w:hint="eastAsia" w:cs="Times New Roman" w:asciiTheme="minorEastAsia" w:hAnsiTheme="minorEastAsia" w:eastAsiaTheme="minorEastAsia"/>
                      <w:color w:val="auto"/>
                      <w:sz w:val="18"/>
                      <w:szCs w:val="18"/>
                    </w:rPr>
                    <w:t>：与申购申请日为同一日</w:t>
                  </w:r>
                  <w:r>
                    <w:rPr>
                      <w:rFonts w:hint="eastAsia" w:ascii="黑体" w:hAnsi="黑体" w:eastAsia="黑体" w:cs="Times New Roman"/>
                      <w:color w:val="auto"/>
                      <w:sz w:val="18"/>
                      <w:szCs w:val="18"/>
                    </w:rPr>
                    <w:t>（注：</w:t>
                  </w:r>
                  <w:r>
                    <w:rPr>
                      <w:rFonts w:ascii="黑体" w:hAnsi="黑体" w:eastAsia="黑体" w:cs="Times New Roman"/>
                      <w:color w:val="auto"/>
                      <w:sz w:val="18"/>
                      <w:szCs w:val="18"/>
                    </w:rPr>
                    <w:t>前述</w:t>
                  </w:r>
                  <w:r>
                    <w:rPr>
                      <w:rFonts w:hint="eastAsia" w:ascii="黑体" w:hAnsi="黑体" w:eastAsia="黑体" w:cs="Times New Roman"/>
                      <w:color w:val="auto"/>
                      <w:sz w:val="18"/>
                      <w:szCs w:val="18"/>
                    </w:rPr>
                    <w:t>申购申请视为在申购申请日的交易时间内做出，故申购申请日即为申购日）。</w:t>
                  </w:r>
                </w:p>
              </w:tc>
              <w:tc>
                <w:tcPr>
                  <w:tcW w:w="1276" w:type="dxa"/>
                </w:tcPr>
                <w:p>
                  <w:pPr>
                    <w:pStyle w:val="17"/>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申购日后【2】个工作日内。</w:t>
                  </w:r>
                </w:p>
              </w:tc>
              <w:tc>
                <w:tcPr>
                  <w:tcW w:w="1760" w:type="dxa"/>
                </w:tcPr>
                <w:p>
                  <w:pPr>
                    <w:pStyle w:val="17"/>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产品管理人在申购确认日对投资者的申购申请的有效性进行确认，并登记理财份额。</w:t>
                  </w:r>
                </w:p>
              </w:tc>
            </w:tr>
          </w:tbl>
          <w:p>
            <w:pPr>
              <w:spacing w:line="360" w:lineRule="auto"/>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注：</w:t>
            </w:r>
            <w:r>
              <w:rPr>
                <w:rFonts w:hint="eastAsia" w:ascii="黑体" w:hAnsi="黑体" w:eastAsia="黑体" w:cs="黑体"/>
                <w:sz w:val="18"/>
                <w:szCs w:val="18"/>
              </w:rPr>
              <w:t>本产品在一个完整投资周期结束前，设置一个预约申购期；在一个完整投资周期结束后，可以再设置多个预约申购期。</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3</w:t>
            </w:r>
            <w:r>
              <w:rPr>
                <w:rFonts w:asciiTheme="majorEastAsia" w:hAnsiTheme="majorEastAsia" w:eastAsiaTheme="majorEastAsia"/>
                <w:bCs/>
                <w:color w:val="000000" w:themeColor="text1"/>
                <w:sz w:val="18"/>
                <w:szCs w:val="18"/>
                <w14:textFill>
                  <w14:solidFill>
                    <w14:schemeClr w14:val="tx1"/>
                  </w14:solidFill>
                </w14:textFill>
              </w:rPr>
              <w:t>.预约</w:t>
            </w:r>
            <w:r>
              <w:rPr>
                <w:rFonts w:hint="eastAsia" w:asciiTheme="majorEastAsia" w:hAnsiTheme="majorEastAsia" w:eastAsiaTheme="majorEastAsia"/>
                <w:bCs/>
                <w:color w:val="000000" w:themeColor="text1"/>
                <w:sz w:val="18"/>
                <w:szCs w:val="18"/>
                <w14:textFill>
                  <w14:solidFill>
                    <w14:schemeClr w14:val="tx1"/>
                  </w14:solidFill>
                </w14:textFill>
              </w:rPr>
              <w:t>赎回安排</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（1）赎回的时间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预约赎回期：【2025】年【02】月【05】日00:00至【2025】年【02】月【18】日15:</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00</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（2）赎回的确认</w:t>
            </w:r>
          </w:p>
          <w:tbl>
            <w:tblPr>
              <w:tblStyle w:val="10"/>
              <w:tblW w:w="719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745"/>
              <w:gridCol w:w="2409"/>
              <w:gridCol w:w="1418"/>
              <w:gridCol w:w="16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78" w:hRule="atLeast"/>
                <w:jc w:val="center"/>
              </w:trPr>
              <w:tc>
                <w:tcPr>
                  <w:tcW w:w="1745" w:type="dxa"/>
                  <w:vAlign w:val="center"/>
                </w:tcPr>
                <w:p>
                  <w:pPr>
                    <w:pStyle w:val="17"/>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预约赎回申请日</w:t>
                  </w:r>
                </w:p>
              </w:tc>
              <w:tc>
                <w:tcPr>
                  <w:tcW w:w="2409" w:type="dxa"/>
                  <w:vAlign w:val="center"/>
                </w:tcPr>
                <w:p>
                  <w:pPr>
                    <w:pStyle w:val="17"/>
                    <w:spacing w:line="360" w:lineRule="auto"/>
                    <w:jc w:val="center"/>
                    <w:rPr>
                      <w:rFonts w:cs="Times New Roman" w:asciiTheme="minorEastAsia" w:hAnsiTheme="minorEastAsia"/>
                      <w:b/>
                      <w:bCs/>
                      <w:color w:val="auto"/>
                      <w:sz w:val="18"/>
                      <w:szCs w:val="18"/>
                    </w:rPr>
                  </w:pPr>
                  <w:r>
                    <w:rPr>
                      <w:rFonts w:hint="eastAsia" w:cs="Times New Roman" w:asciiTheme="minorEastAsia" w:hAnsiTheme="minorEastAsia"/>
                      <w:b/>
                      <w:bCs/>
                      <w:color w:val="auto"/>
                      <w:sz w:val="18"/>
                      <w:szCs w:val="18"/>
                    </w:rPr>
                    <w:t>赎回申请日和赎回日</w:t>
                  </w:r>
                </w:p>
              </w:tc>
              <w:tc>
                <w:tcPr>
                  <w:tcW w:w="1418" w:type="dxa"/>
                  <w:vAlign w:val="center"/>
                </w:tcPr>
                <w:p>
                  <w:pPr>
                    <w:pStyle w:val="17"/>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赎回确认日</w:t>
                  </w:r>
                </w:p>
              </w:tc>
              <w:tc>
                <w:tcPr>
                  <w:tcW w:w="1618" w:type="dxa"/>
                  <w:vAlign w:val="center"/>
                </w:tcPr>
                <w:p>
                  <w:pPr>
                    <w:pStyle w:val="17"/>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赎回确认</w:t>
                  </w:r>
                  <w:r>
                    <w:rPr>
                      <w:rFonts w:cs="Times New Roman" w:asciiTheme="minorEastAsia" w:hAnsiTheme="minorEastAsia"/>
                      <w:b/>
                      <w:bCs/>
                      <w:color w:val="auto"/>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7" w:hRule="atLeast"/>
                <w:jc w:val="center"/>
              </w:trPr>
              <w:tc>
                <w:tcPr>
                  <w:tcW w:w="1745" w:type="dxa"/>
                </w:tcPr>
                <w:p>
                  <w:pPr>
                    <w:pStyle w:val="17"/>
                    <w:spacing w:line="360" w:lineRule="auto"/>
                    <w:jc w:val="left"/>
                    <w:rPr>
                      <w:rFonts w:asciiTheme="minorEastAsia" w:hAnsiTheme="minorEastAsia"/>
                      <w:bCs/>
                      <w:color w:val="auto"/>
                      <w:kern w:val="2"/>
                      <w:sz w:val="18"/>
                      <w:szCs w:val="18"/>
                    </w:rPr>
                  </w:pPr>
                  <w:r>
                    <w:rPr>
                      <w:rFonts w:hint="eastAsia" w:cs="Times New Roman" w:asciiTheme="minorEastAsia" w:hAnsiTheme="minorEastAsia" w:eastAsiaTheme="minorEastAsia"/>
                      <w:color w:val="auto"/>
                      <w:sz w:val="18"/>
                      <w:szCs w:val="18"/>
                    </w:rPr>
                    <w:t>为预约赎回期内任意一日。</w:t>
                  </w:r>
                </w:p>
              </w:tc>
              <w:tc>
                <w:tcPr>
                  <w:tcW w:w="2409" w:type="dxa"/>
                </w:tcPr>
                <w:p>
                  <w:pPr>
                    <w:pStyle w:val="17"/>
                    <w:spacing w:line="360" w:lineRule="auto"/>
                    <w:jc w:val="both"/>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赎回申请日：预约赎回期内最后一个工作日为赎回申请日</w:t>
                  </w:r>
                  <w:r>
                    <w:rPr>
                      <w:rFonts w:hint="eastAsia" w:ascii="黑体" w:hAnsi="黑体" w:eastAsia="黑体" w:cs="Times New Roman"/>
                      <w:color w:val="auto"/>
                      <w:sz w:val="18"/>
                      <w:szCs w:val="18"/>
                    </w:rPr>
                    <w:t>（注：在赎回申请日，投资者的预约赎回申请自动转化为赎回申请）</w:t>
                  </w:r>
                  <w:r>
                    <w:rPr>
                      <w:rFonts w:hint="eastAsia" w:cs="Times New Roman" w:asciiTheme="minorEastAsia" w:hAnsiTheme="minorEastAsia" w:eastAsiaTheme="minorEastAsia"/>
                      <w:color w:val="auto"/>
                      <w:sz w:val="18"/>
                      <w:szCs w:val="18"/>
                    </w:rPr>
                    <w:t>。</w:t>
                  </w:r>
                </w:p>
                <w:p>
                  <w:pPr>
                    <w:pStyle w:val="17"/>
                    <w:spacing w:line="360" w:lineRule="auto"/>
                    <w:jc w:val="both"/>
                    <w:rPr>
                      <w:rFonts w:cs="Times New Roman" w:asciiTheme="minorEastAsia" w:hAnsiTheme="minorEastAsia" w:eastAsiaTheme="minorEastAsia"/>
                      <w:color w:val="auto"/>
                      <w:sz w:val="18"/>
                      <w:szCs w:val="18"/>
                    </w:rPr>
                  </w:pPr>
                  <w:r>
                    <w:rPr>
                      <w:rFonts w:cs="Times New Roman" w:asciiTheme="minorEastAsia" w:hAnsiTheme="minorEastAsia" w:eastAsiaTheme="minorEastAsia"/>
                      <w:color w:val="auto"/>
                      <w:sz w:val="18"/>
                      <w:szCs w:val="18"/>
                    </w:rPr>
                    <w:t>赎回日</w:t>
                  </w:r>
                  <w:r>
                    <w:rPr>
                      <w:rFonts w:hint="eastAsia" w:cs="Times New Roman" w:asciiTheme="minorEastAsia" w:hAnsiTheme="minorEastAsia" w:eastAsiaTheme="minorEastAsia"/>
                      <w:color w:val="auto"/>
                      <w:sz w:val="18"/>
                      <w:szCs w:val="18"/>
                    </w:rPr>
                    <w:t>：与赎回申请日为同一日</w:t>
                  </w:r>
                  <w:r>
                    <w:rPr>
                      <w:rFonts w:hint="eastAsia" w:ascii="黑体" w:hAnsi="黑体" w:eastAsia="黑体" w:cs="Times New Roman"/>
                      <w:color w:val="auto"/>
                      <w:sz w:val="18"/>
                      <w:szCs w:val="18"/>
                    </w:rPr>
                    <w:t>（注：</w:t>
                  </w:r>
                  <w:r>
                    <w:rPr>
                      <w:rFonts w:ascii="黑体" w:hAnsi="黑体" w:eastAsia="黑体" w:cs="Times New Roman"/>
                      <w:color w:val="auto"/>
                      <w:sz w:val="18"/>
                      <w:szCs w:val="18"/>
                    </w:rPr>
                    <w:t>前述</w:t>
                  </w:r>
                  <w:r>
                    <w:rPr>
                      <w:rFonts w:hint="eastAsia" w:ascii="黑体" w:hAnsi="黑体" w:eastAsia="黑体" w:cs="Times New Roman"/>
                      <w:color w:val="auto"/>
                      <w:sz w:val="18"/>
                      <w:szCs w:val="18"/>
                    </w:rPr>
                    <w:t>赎回申请视为在赎回申请日的交易时间内做出，故赎回申请日即为赎回日）。</w:t>
                  </w:r>
                </w:p>
              </w:tc>
              <w:tc>
                <w:tcPr>
                  <w:tcW w:w="1418" w:type="dxa"/>
                </w:tcPr>
                <w:p>
                  <w:pPr>
                    <w:pStyle w:val="17"/>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赎回日后【2】个工作日内。</w:t>
                  </w:r>
                </w:p>
              </w:tc>
              <w:tc>
                <w:tcPr>
                  <w:tcW w:w="1618" w:type="dxa"/>
                </w:tcPr>
                <w:p>
                  <w:pPr>
                    <w:pStyle w:val="17"/>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产品管理人在赎回</w:t>
                  </w:r>
                  <w:r>
                    <w:rPr>
                      <w:rFonts w:cs="Times New Roman" w:asciiTheme="minorEastAsia" w:hAnsiTheme="minorEastAsia" w:eastAsiaTheme="minorEastAsia"/>
                      <w:bCs/>
                      <w:sz w:val="18"/>
                      <w:szCs w:val="18"/>
                    </w:rPr>
                    <w:t>确认日</w:t>
                  </w:r>
                  <w:r>
                    <w:rPr>
                      <w:rFonts w:hint="eastAsia" w:cs="Times New Roman" w:asciiTheme="minorEastAsia" w:hAnsiTheme="minorEastAsia" w:eastAsiaTheme="minorEastAsia"/>
                      <w:bCs/>
                      <w:sz w:val="18"/>
                      <w:szCs w:val="18"/>
                    </w:rPr>
                    <w:t>对投资者的赎回申请的有效性进行确认，并注销理财份额。</w:t>
                  </w:r>
                </w:p>
              </w:tc>
            </w:tr>
          </w:tbl>
          <w:p>
            <w:pPr>
              <w:spacing w:line="360" w:lineRule="auto"/>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注：</w:t>
            </w:r>
            <w:r>
              <w:rPr>
                <w:rFonts w:hint="eastAsia" w:ascii="黑体" w:hAnsi="黑体" w:eastAsia="黑体" w:cs="黑体"/>
                <w:color w:val="000000" w:themeColor="text1"/>
                <w:sz w:val="18"/>
                <w14:textFill>
                  <w14:solidFill>
                    <w14:schemeClr w14:val="tx1"/>
                  </w14:solidFill>
                </w14:textFill>
              </w:rPr>
              <w:t>赎回</w:t>
            </w:r>
            <w:r>
              <w:rPr>
                <w:rFonts w:hint="eastAsia" w:ascii="黑体" w:hAnsi="黑体" w:eastAsia="黑体" w:cs="黑体"/>
                <w:color w:val="000000" w:themeColor="text1"/>
                <w:sz w:val="18"/>
                <w:szCs w:val="18"/>
                <w14:textFill>
                  <w14:solidFill>
                    <w14:schemeClr w14:val="tx1"/>
                  </w14:solidFill>
                </w14:textFill>
              </w:rPr>
              <w:t>款项于</w:t>
            </w:r>
            <w:r>
              <w:rPr>
                <w:rFonts w:hint="eastAsia" w:ascii="黑体" w:hAnsi="黑体" w:eastAsia="黑体" w:cs="黑体"/>
                <w:kern w:val="0"/>
                <w:sz w:val="18"/>
                <w:szCs w:val="18"/>
              </w:rPr>
              <w:t>赎回</w:t>
            </w:r>
            <w:r>
              <w:rPr>
                <w:rFonts w:hint="eastAsia" w:ascii="黑体" w:hAnsi="黑体" w:eastAsia="黑体" w:cs="黑体"/>
                <w:kern w:val="0"/>
                <w:sz w:val="18"/>
              </w:rPr>
              <w:t>日后【5】个工作日</w:t>
            </w:r>
            <w:r>
              <w:rPr>
                <w:rFonts w:hint="eastAsia" w:ascii="黑体" w:hAnsi="黑体" w:eastAsia="黑体" w:cs="黑体"/>
                <w:kern w:val="0"/>
                <w:sz w:val="18"/>
                <w:szCs w:val="18"/>
              </w:rPr>
              <w:t>内支付给</w:t>
            </w:r>
            <w:r>
              <w:rPr>
                <w:rFonts w:hint="eastAsia" w:ascii="黑体" w:hAnsi="黑体" w:eastAsia="黑体" w:cs="黑体"/>
                <w:kern w:val="0"/>
                <w:sz w:val="18"/>
              </w:rPr>
              <w:t>投资者</w:t>
            </w:r>
            <w:r>
              <w:rPr>
                <w:rFonts w:hint="eastAsia" w:ascii="黑体" w:hAnsi="黑体" w:eastAsia="黑体" w:cs="黑体"/>
                <w:kern w:val="0"/>
                <w:sz w:val="18"/>
                <w:szCs w:val="18"/>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4.预约申购期/</w:t>
            </w:r>
            <w:r>
              <w:rPr>
                <w:rFonts w:hint="eastAsia" w:asciiTheme="majorEastAsia" w:hAnsiTheme="majorEastAsia" w:eastAsiaTheme="majorEastAsia"/>
                <w:bCs/>
                <w:color w:val="000000" w:themeColor="text1"/>
                <w:sz w:val="18"/>
                <w:szCs w:val="18"/>
                <w14:textFill>
                  <w14:solidFill>
                    <w14:schemeClr w14:val="tx1"/>
                  </w14:solidFill>
                </w14:textFill>
              </w:rPr>
              <w:t>预约赎回期的起始日和终止日如遇非工作日，则产品管理人做相应调整。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cs="Times New Roman" w:asciiTheme="minorEastAsia" w:hAnsiTheme="minorEastAsia"/>
                <w:sz w:val="18"/>
                <w:szCs w:val="18"/>
              </w:rPr>
              <w:t>本产品在一个完整投资周期结束前，产品</w:t>
            </w:r>
            <w:r>
              <w:rPr>
                <w:rFonts w:cs="Times New Roman" w:asciiTheme="minorEastAsia" w:hAnsiTheme="minorEastAsia"/>
                <w:sz w:val="18"/>
                <w:szCs w:val="18"/>
              </w:rPr>
              <w:t>管理人可以</w:t>
            </w:r>
            <w:r>
              <w:rPr>
                <w:rFonts w:hint="eastAsia" w:cs="Times New Roman" w:asciiTheme="minorEastAsia" w:hAnsiTheme="minorEastAsia"/>
                <w:sz w:val="18"/>
                <w:szCs w:val="18"/>
              </w:rPr>
              <w:t>更新产品说明书，约定后续投资周期对应的</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预约赎回期。</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②代理销售机构的实际工作服务时段，最早不得早于销售文件约定</w:t>
            </w:r>
            <w:r>
              <w:rPr>
                <w:rFonts w:ascii="黑体" w:hAnsi="黑体" w:eastAsia="黑体"/>
                <w:bCs/>
                <w:color w:val="000000" w:themeColor="text1"/>
                <w:sz w:val="18"/>
                <w:szCs w:val="18"/>
                <w14:textFill>
                  <w14:solidFill>
                    <w14:schemeClr w14:val="tx1"/>
                  </w14:solidFill>
                </w14:textFill>
              </w:rPr>
              <w:t>的</w:t>
            </w:r>
            <w:r>
              <w:rPr>
                <w:rFonts w:hint="eastAsia" w:ascii="黑体" w:hAnsi="黑体" w:eastAsia="黑体"/>
                <w:bCs/>
                <w:color w:val="000000" w:themeColor="text1"/>
                <w:sz w:val="18"/>
                <w:szCs w:val="18"/>
                <w14:textFill>
                  <w14:solidFill>
                    <w14:schemeClr w14:val="tx1"/>
                  </w14:solidFill>
                </w14:textFill>
              </w:rPr>
              <w:t>起始时点、最晚不得晚于销售文件</w:t>
            </w:r>
            <w:r>
              <w:rPr>
                <w:rFonts w:ascii="黑体" w:hAnsi="黑体" w:eastAsia="黑体"/>
                <w:bCs/>
                <w:color w:val="000000" w:themeColor="text1"/>
                <w:sz w:val="18"/>
                <w:szCs w:val="18"/>
                <w14:textFill>
                  <w14:solidFill>
                    <w14:schemeClr w14:val="tx1"/>
                  </w14:solidFill>
                </w14:textFill>
              </w:rPr>
              <w:t>约定的</w:t>
            </w:r>
            <w:r>
              <w:rPr>
                <w:rFonts w:hint="eastAsia" w:ascii="黑体" w:hAnsi="黑体" w:eastAsia="黑体"/>
                <w:bCs/>
                <w:color w:val="000000" w:themeColor="text1"/>
                <w:sz w:val="18"/>
                <w:szCs w:val="18"/>
                <w14:textFill>
                  <w14:solidFill>
                    <w14:schemeClr w14:val="tx1"/>
                  </w14:solidFill>
                </w14:textFill>
              </w:rPr>
              <w:t>终止时点</w:t>
            </w:r>
            <w:r>
              <w:rPr>
                <w:rFonts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购买起点金额为【1.00】元；超出起点金额的部分以【0.01】元的整数倍递增。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（适用【A/</w:t>
            </w:r>
            <w:r>
              <w:rPr>
                <w:rFonts w:asciiTheme="majorEastAsia" w:hAnsiTheme="majorEastAsia" w:eastAsiaTheme="majorEastAsia"/>
                <w:bCs/>
                <w:color w:val="000000" w:themeColor="text1"/>
                <w:sz w:val="18"/>
                <w:szCs w:val="18"/>
                <w14:textFill>
                  <w14:solidFill>
                    <w14:schemeClr w14:val="tx1"/>
                  </w14:solidFill>
                </w14:textFill>
              </w:rPr>
              <w:t>B</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autoSpaceDE w:val="0"/>
              <w:autoSpaceDN w:val="0"/>
              <w:adjustRightInd w:val="0"/>
              <w:spacing w:line="360" w:lineRule="auto"/>
              <w:jc w:val="left"/>
              <w:rPr>
                <w:rFonts w:hAnsi="宋体"/>
                <w:b/>
                <w:sz w:val="18"/>
                <w:szCs w:val="18"/>
              </w:rPr>
            </w:pPr>
            <w:r>
              <w:rPr>
                <w:rFonts w:hint="eastAsia" w:hAnsi="宋体"/>
                <w:b/>
                <w:sz w:val="18"/>
                <w:szCs w:val="18"/>
              </w:rPr>
              <w:t xml:space="preserve">★认购、申购与赎回的数量限制 </w:t>
            </w:r>
            <w:r>
              <w:rPr>
                <w:rFonts w:hAnsi="宋体"/>
                <w:b/>
                <w:sz w:val="18"/>
                <w:szCs w:val="18"/>
              </w:rPr>
              <w:t xml:space="preserve"> </w:t>
            </w:r>
          </w:p>
        </w:tc>
        <w:tc>
          <w:tcPr>
            <w:tcW w:w="7704" w:type="dxa"/>
            <w:shd w:val="solid" w:color="FFFFFF" w:fill="FFFFFF"/>
            <w:vAlign w:val="center"/>
          </w:tcPr>
          <w:p>
            <w:pPr>
              <w:pStyle w:val="17"/>
              <w:spacing w:line="360" w:lineRule="auto"/>
              <w:rPr>
                <w:rFonts w:asciiTheme="minorEastAsia" w:hAnsiTheme="minorEastAsia" w:eastAsiaTheme="minorEastAsia"/>
                <w:color w:val="auto"/>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1.认购的数量限制</w:t>
            </w:r>
          </w:p>
          <w:p>
            <w:pPr>
              <w:pStyle w:val="17"/>
              <w:spacing w:line="360" w:lineRule="auto"/>
              <w:rPr>
                <w:rFonts w:hAnsi="宋体"/>
                <w:bCs/>
                <w:sz w:val="18"/>
                <w:szCs w:val="18"/>
              </w:rPr>
            </w:pPr>
            <w:r>
              <w:rPr>
                <w:rFonts w:hint="eastAsia" w:asciiTheme="minorEastAsia" w:hAnsiTheme="minorEastAsia" w:eastAsiaTheme="minorEastAsia"/>
                <w:color w:val="auto"/>
                <w:sz w:val="18"/>
                <w:szCs w:val="18"/>
              </w:rPr>
              <w:t>单一投资者认购上限为【/】。如需突破上限，请与产品管理人或销售机构客户经理联系。</w:t>
            </w:r>
          </w:p>
          <w:p>
            <w:pPr>
              <w:pStyle w:val="17"/>
              <w:spacing w:line="360" w:lineRule="auto"/>
              <w:rPr>
                <w:rFonts w:asciiTheme="minorEastAsia" w:hAnsiTheme="minorEastAsia" w:eastAsiaTheme="minorEastAsia"/>
                <w:color w:val="auto"/>
                <w:sz w:val="18"/>
                <w:szCs w:val="18"/>
              </w:rPr>
            </w:pPr>
            <w:r>
              <w:rPr>
                <w:rFonts w:hint="eastAsia" w:hAnsi="宋体"/>
                <w:bCs/>
                <w:sz w:val="18"/>
                <w:szCs w:val="18"/>
              </w:rPr>
              <w:t>2.</w:t>
            </w:r>
            <w:r>
              <w:rPr>
                <w:rFonts w:hint="eastAsia" w:asciiTheme="minorEastAsia" w:hAnsiTheme="minorEastAsia" w:eastAsiaTheme="minorEastAsia"/>
                <w:color w:val="auto"/>
                <w:sz w:val="18"/>
                <w:szCs w:val="18"/>
              </w:rPr>
              <w:t>申购的数量限制</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（1）单一投资者申购上限为【/】。</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3.赎回的数量限制</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（1）单一投资者赎回上限为【/】。</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投资者可全部或部分赎回其理财份额，但是部分赎回后单一投资者持有产品份额不得低于【/】份。受理财利益分配去尾规则的影响，投资者持有产品份额较低时可能无法取得利益。巨额赎回情景发生时，投资者的可赎回份额需要根据巨额赎回规则确定。</w:t>
            </w:r>
          </w:p>
          <w:p>
            <w:pPr>
              <w:pStyle w:val="17"/>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本产品单一投资者持有份额不得超过产品总份额</w:t>
            </w:r>
            <w:r>
              <w:rPr>
                <w:rFonts w:ascii="黑体" w:hAnsi="黑体" w:eastAsia="黑体"/>
                <w:bCs/>
                <w:color w:val="000000" w:themeColor="text1"/>
                <w:sz w:val="18"/>
                <w:szCs w:val="18"/>
                <w14:textFill>
                  <w14:solidFill>
                    <w14:schemeClr w14:val="tx1"/>
                  </w14:solidFill>
                </w14:textFill>
              </w:rPr>
              <w:t>50%。</w:t>
            </w:r>
          </w:p>
          <w:p>
            <w:pPr>
              <w:pStyle w:val="17"/>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pStyle w:val="17"/>
              <w:spacing w:line="360" w:lineRule="auto"/>
              <w:rPr>
                <w:rFonts w:asciiTheme="minorEastAsia" w:hAnsiTheme="minorEastAsia" w:eastAsiaTheme="minorEastAsia"/>
                <w:color w:val="auto"/>
                <w:sz w:val="18"/>
                <w:szCs w:val="18"/>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hAnsi="宋体"/>
                <w:b/>
                <w:sz w:val="18"/>
                <w:szCs w:val="18"/>
              </w:rPr>
            </w:pPr>
            <w:r>
              <w:rPr>
                <w:rFonts w:hint="eastAsia"/>
                <w:sz w:val="18"/>
                <w:szCs w:val="18"/>
              </w:rPr>
              <w:t>★</w:t>
            </w:r>
            <w:r>
              <w:rPr>
                <w:rFonts w:hint="eastAsia" w:hAnsi="宋体"/>
                <w:b/>
                <w:sz w:val="18"/>
                <w:szCs w:val="18"/>
              </w:rPr>
              <w:t>巨额赎回的认定</w:t>
            </w:r>
          </w:p>
        </w:tc>
        <w:tc>
          <w:tcPr>
            <w:tcW w:w="7704" w:type="dxa"/>
            <w:shd w:val="solid" w:color="FFFFFF" w:fill="FFFFFF"/>
          </w:tcPr>
          <w:p>
            <w:pPr>
              <w:pStyle w:val="17"/>
              <w:spacing w:line="360" w:lineRule="auto"/>
              <w:rPr>
                <w:rFonts w:asciiTheme="minorEastAsia" w:hAnsiTheme="minorEastAsia" w:eastAsiaTheme="minorEastAsia"/>
                <w:color w:val="auto"/>
                <w:sz w:val="18"/>
                <w:szCs w:val="18"/>
              </w:rPr>
            </w:pPr>
            <w:r>
              <w:rPr>
                <w:rFonts w:hint="eastAsia" w:asciiTheme="majorEastAsia" w:hAnsiTheme="majorEastAsia" w:eastAsiaTheme="majorEastAsia"/>
                <w:bCs/>
                <w:sz w:val="18"/>
                <w:szCs w:val="18"/>
              </w:rPr>
              <w:t>预约赎回期中，本产品的累计产品份额净预约赎回申请（预约赎回申请总份额扣除预约申购总份额后的余额</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下同）之和达到赎回日上一日产品总份额的【10】</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，为巨额赎回。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70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70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日之前的估值日公布的产品份额净值已扣除理财产品的费用和税收。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赎回日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704" w:type="dxa"/>
            <w:shd w:val="solid" w:color="FFFFFF" w:fill="FFFFFF"/>
            <w:vAlign w:val="center"/>
          </w:tcPr>
          <w:p>
            <w:pPr>
              <w:spacing w:line="360" w:lineRule="auto"/>
              <w:jc w:val="left"/>
              <w:rPr>
                <w:rFonts w:ascii="宋体" w:hAnsi="宋体"/>
                <w:b/>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spacing w:line="360" w:lineRule="auto"/>
              <w:jc w:val="left"/>
              <w:rPr>
                <w:rFonts w:ascii="宋体" w:hAnsi="宋体"/>
                <w:b/>
                <w:bCs/>
                <w:sz w:val="18"/>
                <w:szCs w:val="18"/>
              </w:rPr>
            </w:pPr>
            <w:r>
              <w:rPr>
                <w:rFonts w:hint="eastAsia" w:ascii="宋体" w:hAnsi="宋体"/>
                <w:b/>
                <w:bCs/>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Theme="majorEastAsia" w:hAnsiTheme="majorEastAsia"/>
                <w:bCs/>
                <w:sz w:val="18"/>
                <w:szCs w:val="18"/>
              </w:rPr>
            </w:pPr>
            <w:r>
              <w:rPr>
                <w:rFonts w:hint="eastAsia" w:ascii="宋体" w:hAnsi="宋体"/>
                <w:bCs/>
                <w:sz w:val="18"/>
                <w:szCs w:val="18"/>
              </w:rPr>
              <w:t>（1）业绩比较基准的说明：【根据本产品各类资产的拟投资比例、资产信用利差、久期敞口以及流动性溢价，结合当前宏观环境和各类资产价格所处的位置，参考历史经验和回测结果，设定业绩比较基准</w:t>
            </w:r>
            <w:r>
              <w:rPr>
                <w:rFonts w:ascii="宋体" w:hAnsi="宋体"/>
                <w:bCs/>
                <w:sz w:val="18"/>
                <w:szCs w:val="18"/>
              </w:rPr>
              <w:t>】</w:t>
            </w:r>
            <w:r>
              <w:rPr>
                <w:rFonts w:hint="eastAsia" w:ascii="宋体" w:hAnsi="宋体"/>
                <w:bCs/>
                <w:sz w:val="18"/>
                <w:szCs w:val="18"/>
              </w:rPr>
              <w:t>。</w:t>
            </w:r>
          </w:p>
          <w:p>
            <w:pPr>
              <w:spacing w:line="360" w:lineRule="auto"/>
              <w:jc w:val="left"/>
              <w:rPr>
                <w:rFonts w:asciiTheme="majorEastAsia" w:hAnsiTheme="majorEastAsia"/>
                <w:sz w:val="18"/>
              </w:rPr>
            </w:pPr>
            <w:r>
              <w:rPr>
                <w:rFonts w:hint="eastAsia" w:asciiTheme="majorEastAsia" w:hAnsiTheme="majorEastAsia" w:eastAsiaTheme="majorEastAsia"/>
                <w:bCs/>
                <w:sz w:val="18"/>
                <w:szCs w:val="18"/>
              </w:rPr>
              <w:t>（2）</w:t>
            </w:r>
            <w:r>
              <w:rPr>
                <w:rFonts w:asciiTheme="majorEastAsia" w:hAnsiTheme="majorEastAsia" w:eastAsiaTheme="majorEastAsia"/>
                <w:bCs/>
                <w:sz w:val="18"/>
                <w:szCs w:val="18"/>
              </w:rPr>
              <w:t>业绩比较基准的设定</w:t>
            </w:r>
            <w:r>
              <w:rPr>
                <w:rFonts w:hint="eastAsia" w:asciiTheme="majorEastAsia" w:hAnsiTheme="majorEastAsia" w:eastAsiaTheme="majorEastAsia"/>
                <w:bCs/>
                <w:sz w:val="18"/>
                <w:szCs w:val="18"/>
              </w:rPr>
              <w:t>：</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jc w:val="left"/>
              <w:rPr>
                <w:rFonts w:ascii="宋体" w:hAnsi="宋体"/>
                <w:bCs/>
                <w:sz w:val="18"/>
                <w:szCs w:val="18"/>
              </w:rPr>
            </w:pPr>
            <w:r>
              <w:rPr>
                <w:rFonts w:asciiTheme="majorEastAsia" w:hAnsiTheme="majorEastAsia"/>
                <w:sz w:val="18"/>
              </w:rPr>
              <w:t>A</w:t>
            </w:r>
            <w:r>
              <w:rPr>
                <w:rFonts w:hint="eastAsia" w:asciiTheme="majorEastAsia" w:hAnsiTheme="majorEastAsia"/>
                <w:sz w:val="18"/>
              </w:rPr>
              <w:t>类份额：年化</w:t>
            </w:r>
            <w:r>
              <w:rPr>
                <w:rFonts w:hint="eastAsia" w:ascii="宋体" w:hAnsi="宋体"/>
                <w:bCs/>
                <w:sz w:val="18"/>
                <w:szCs w:val="18"/>
              </w:rPr>
              <w:t>【</w:t>
            </w:r>
            <w:r>
              <w:rPr>
                <w:rFonts w:ascii="宋体" w:hAnsi="宋体"/>
                <w:bCs/>
                <w:sz w:val="18"/>
                <w:szCs w:val="18"/>
              </w:rPr>
              <w:t>2.</w:t>
            </w:r>
            <w:r>
              <w:rPr>
                <w:rFonts w:hint="eastAsia" w:ascii="宋体" w:hAnsi="宋体"/>
                <w:bCs/>
                <w:sz w:val="18"/>
                <w:szCs w:val="18"/>
                <w:lang w:val="en-US" w:eastAsia="zh-CN"/>
              </w:rPr>
              <w:t>4</w:t>
            </w:r>
            <w:r>
              <w:rPr>
                <w:rFonts w:ascii="宋体" w:hAnsi="宋体"/>
                <w:bCs/>
                <w:sz w:val="18"/>
                <w:szCs w:val="18"/>
              </w:rPr>
              <w:t>0%-</w:t>
            </w:r>
            <w:r>
              <w:rPr>
                <w:rFonts w:hint="eastAsia" w:ascii="宋体" w:hAnsi="宋体"/>
                <w:bCs/>
                <w:sz w:val="18"/>
                <w:szCs w:val="18"/>
                <w:lang w:val="en-US" w:eastAsia="zh-CN"/>
              </w:rPr>
              <w:t>4.10</w:t>
            </w:r>
            <w:r>
              <w:rPr>
                <w:rFonts w:ascii="宋体" w:hAnsi="宋体"/>
                <w:bCs/>
                <w:sz w:val="18"/>
                <w:szCs w:val="18"/>
              </w:rPr>
              <w:t>%】；</w:t>
            </w:r>
          </w:p>
          <w:p>
            <w:pPr>
              <w:spacing w:line="360" w:lineRule="auto"/>
              <w:jc w:val="left"/>
              <w:rPr>
                <w:rFonts w:asciiTheme="majorEastAsia" w:hAnsiTheme="majorEastAsia" w:eastAsiaTheme="majorEastAsia"/>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w:t>
            </w:r>
            <w:r>
              <w:rPr>
                <w:rFonts w:ascii="宋体" w:hAnsi="宋体"/>
                <w:bCs/>
                <w:sz w:val="18"/>
                <w:szCs w:val="18"/>
              </w:rPr>
              <w:t>2.</w:t>
            </w:r>
            <w:r>
              <w:rPr>
                <w:rFonts w:hint="eastAsia" w:ascii="宋体" w:hAnsi="宋体"/>
                <w:bCs/>
                <w:sz w:val="18"/>
                <w:szCs w:val="18"/>
                <w:lang w:val="en-US" w:eastAsia="zh-CN"/>
              </w:rPr>
              <w:t>30</w:t>
            </w:r>
            <w:r>
              <w:rPr>
                <w:rFonts w:ascii="宋体" w:hAnsi="宋体"/>
                <w:bCs/>
                <w:sz w:val="18"/>
                <w:szCs w:val="18"/>
              </w:rPr>
              <w:t>%-</w:t>
            </w:r>
            <w:r>
              <w:rPr>
                <w:rFonts w:hint="eastAsia" w:ascii="宋体" w:hAnsi="宋体"/>
                <w:bCs/>
                <w:sz w:val="18"/>
                <w:szCs w:val="18"/>
                <w:lang w:val="en-US" w:eastAsia="zh-CN"/>
              </w:rPr>
              <w:t>4.00</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w:t>
            </w:r>
            <w:r>
              <w:rPr>
                <w:rFonts w:hint="eastAsia" w:asciiTheme="majorEastAsia" w:hAnsiTheme="majorEastAsia" w:eastAsiaTheme="majorEastAsia"/>
                <w:b/>
                <w:bCs/>
                <w:sz w:val="18"/>
                <w:szCs w:val="18"/>
              </w:rPr>
              <w:t>.业绩比较基准的提示：</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业绩报酬计提基准</w:t>
            </w:r>
          </w:p>
        </w:tc>
        <w:tc>
          <w:tcPr>
            <w:tcW w:w="7704" w:type="dxa"/>
            <w:shd w:val="solid" w:color="FFFFFF" w:fill="FFFFFF"/>
            <w:vAlign w:val="center"/>
          </w:tcPr>
          <w:p>
            <w:pPr>
              <w:spacing w:line="360" w:lineRule="auto"/>
              <w:jc w:val="left"/>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spacing w:line="360" w:lineRule="auto"/>
              <w:jc w:val="left"/>
              <w:rPr>
                <w:rFonts w:ascii="宋体" w:hAnsi="宋体"/>
                <w:b/>
                <w:bCs/>
                <w:sz w:val="18"/>
                <w:szCs w:val="18"/>
              </w:rPr>
            </w:pPr>
            <w:r>
              <w:rPr>
                <w:rFonts w:ascii="宋体"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sz w:val="18"/>
              </w:rPr>
            </w:pPr>
            <w:r>
              <w:rPr>
                <w:rFonts w:ascii="宋体" w:hAnsi="宋体"/>
                <w:bCs/>
                <w:sz w:val="18"/>
                <w:szCs w:val="18"/>
              </w:rPr>
              <w:t>业绩报酬计提基准的</w:t>
            </w:r>
            <w:r>
              <w:rPr>
                <w:rFonts w:ascii="宋体" w:hAnsi="宋体"/>
                <w:sz w:val="18"/>
              </w:rPr>
              <w:t>设定</w:t>
            </w:r>
            <w:r>
              <w:rPr>
                <w:rFonts w:hint="eastAsia" w:ascii="宋体" w:hAnsi="宋体"/>
                <w:sz w:val="18"/>
              </w:rPr>
              <w:t>：管理人</w:t>
            </w:r>
            <w:r>
              <w:rPr>
                <w:rFonts w:ascii="宋体" w:hAnsi="宋体"/>
                <w:sz w:val="18"/>
              </w:rPr>
              <w:t>对本产品设定</w:t>
            </w:r>
            <w:r>
              <w:rPr>
                <w:rFonts w:hint="eastAsia" w:ascii="宋体" w:hAnsi="宋体"/>
                <w:sz w:val="18"/>
              </w:rPr>
              <w:t>业绩报酬计提基准：【</w:t>
            </w:r>
            <w:r>
              <w:rPr>
                <w:rFonts w:hint="eastAsia" w:ascii="宋体" w:hAnsi="宋体"/>
                <w:bCs/>
                <w:sz w:val="18"/>
                <w:szCs w:val="18"/>
              </w:rPr>
              <w:t>业绩比较基准中枢</w:t>
            </w:r>
            <w:r>
              <w:rPr>
                <w:rFonts w:hint="eastAsia" w:ascii="宋体" w:hAnsi="宋体"/>
                <w:sz w:val="18"/>
              </w:rPr>
              <w:t>】。</w:t>
            </w:r>
          </w:p>
          <w:p>
            <w:pPr>
              <w:spacing w:line="360" w:lineRule="auto"/>
              <w:jc w:val="left"/>
              <w:rPr>
                <w:rFonts w:ascii="宋体" w:hAnsi="宋体"/>
                <w:bCs/>
                <w:sz w:val="18"/>
                <w:szCs w:val="18"/>
              </w:rPr>
            </w:pPr>
            <w:r>
              <w:rPr>
                <w:rFonts w:hint="eastAsia" w:asciiTheme="majorEastAsia" w:hAnsiTheme="majorEastAsia" w:eastAsiaTheme="majorEastAsia"/>
                <w:b/>
                <w:kern w:val="0"/>
                <w:sz w:val="18"/>
                <w:szCs w:val="18"/>
              </w:rPr>
              <w:t>□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bCs/>
                <w:sz w:val="18"/>
                <w:szCs w:val="18"/>
              </w:rPr>
            </w:pPr>
            <w:r>
              <w:rPr>
                <w:rFonts w:hint="eastAsia" w:ascii="宋体" w:hAnsi="宋体"/>
                <w:b/>
                <w:bCs/>
                <w:sz w:val="18"/>
                <w:szCs w:val="18"/>
              </w:rPr>
              <w:t>（1）</w:t>
            </w:r>
            <w:r>
              <w:rPr>
                <w:rFonts w:hint="eastAsia"/>
                <w:sz w:val="18"/>
                <w:szCs w:val="18"/>
              </w:rPr>
              <w:t>★</w:t>
            </w:r>
            <w:r>
              <w:rPr>
                <w:rFonts w:hint="eastAsia" w:ascii="宋体" w:hAnsi="宋体"/>
                <w:b/>
                <w:bCs/>
                <w:sz w:val="18"/>
                <w:szCs w:val="18"/>
              </w:rPr>
              <w:t>业绩报酬计提基准仅作为管理人计算超额业绩报酬的参照标准。业绩报酬计提基准不是预期收益率，不代表产品的未来表现和实际收益，不构成对产品收益的承诺，投资须谨慎。</w:t>
            </w:r>
          </w:p>
          <w:p>
            <w:pPr>
              <w:spacing w:line="360" w:lineRule="auto"/>
              <w:jc w:val="left"/>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b/>
                <w:sz w:val="18"/>
                <w:szCs w:val="18"/>
              </w:rPr>
            </w:pPr>
            <w:r>
              <w:rPr>
                <w:rFonts w:hint="eastAsia" w:hAnsi="宋体"/>
                <w:b/>
                <w:sz w:val="18"/>
                <w:szCs w:val="18"/>
              </w:rPr>
              <w:t>★</w:t>
            </w:r>
            <w:r>
              <w:rPr>
                <w:rFonts w:hint="eastAsia"/>
                <w:b/>
                <w:sz w:val="18"/>
                <w:szCs w:val="18"/>
              </w:rPr>
              <w:t>理财产品利益分配</w:t>
            </w:r>
          </w:p>
        </w:tc>
        <w:tc>
          <w:tcPr>
            <w:tcW w:w="770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（适用【/】类份额）</w:t>
            </w:r>
          </w:p>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（2）</w:t>
            </w:r>
            <w:r>
              <w:rPr>
                <w:rFonts w:ascii="宋体" w:hAnsi="宋体"/>
                <w:b/>
                <w:bCs/>
                <w:color w:val="000000" w:themeColor="text1"/>
                <w:sz w:val="18"/>
                <w:szCs w:val="18"/>
                <w14:textFill>
                  <w14:solidFill>
                    <w14:schemeClr w14:val="tx1"/>
                  </w14:solidFill>
                </w14:textFill>
              </w:rPr>
              <w:t>申购费：</w:t>
            </w: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（3）赎回费：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（4）</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sz w:val="18"/>
                <w:szCs w:val="18"/>
              </w:rPr>
            </w:pPr>
            <w:r>
              <w:rPr>
                <w:rFonts w:asciiTheme="majorEastAsia" w:hAnsiTheme="majorEastAsia"/>
                <w:sz w:val="18"/>
              </w:rPr>
              <w:t>A</w:t>
            </w:r>
            <w:r>
              <w:rPr>
                <w:rFonts w:hint="eastAsia" w:asciiTheme="majorEastAsia" w:hAnsiTheme="majorEastAsia"/>
                <w:sz w:val="18"/>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【0.40%】；</w:t>
            </w:r>
          </w:p>
          <w:p>
            <w:pPr>
              <w:spacing w:line="360" w:lineRule="auto"/>
              <w:rPr>
                <w:rFonts w:ascii="宋体" w:hAnsi="宋体"/>
                <w:bCs/>
                <w:color w:val="000000" w:themeColor="text1"/>
                <w:sz w:val="18"/>
                <w:szCs w:val="18"/>
                <w14:textFill>
                  <w14:solidFill>
                    <w14:schemeClr w14:val="tx1"/>
                  </w14:solidFill>
                </w14:textFill>
              </w:rPr>
            </w:pPr>
            <w:r>
              <w:rPr>
                <w:rFonts w:asciiTheme="majorEastAsia" w:hAnsiTheme="majorEastAsia"/>
                <w:sz w:val="18"/>
              </w:rPr>
              <w:t>B</w:t>
            </w:r>
            <w:r>
              <w:rPr>
                <w:rFonts w:hint="eastAsia" w:asciiTheme="majorEastAsia" w:hAnsiTheme="majorEastAsia"/>
                <w:sz w:val="18"/>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30</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20%】</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（6）产品托管费：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【0.03%</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（7）超额业绩报酬：</w:t>
            </w:r>
          </w:p>
          <w:p>
            <w:pPr>
              <w:widowControl/>
              <w:spacing w:line="360" w:lineRule="auto"/>
              <w:jc w:val="left"/>
              <w:rPr>
                <w:rFonts w:ascii="宋体" w:hAnsi="宋体"/>
                <w:sz w:val="18"/>
                <w:szCs w:val="18"/>
              </w:rPr>
            </w:pPr>
            <w:r>
              <w:rPr>
                <w:rFonts w:hint="eastAsia" w:ascii="宋体" w:hAnsi="宋体"/>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30%】作为超额业绩报酬。</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70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17"/>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72" w:name="_Toc79154666"/>
      <w:bookmarkStart w:id="73" w:name="_Toc92377132"/>
      <w:bookmarkStart w:id="74" w:name="_Toc116984886"/>
      <w:r>
        <w:rPr>
          <w:rFonts w:ascii="Times New Roman"/>
          <w:sz w:val="30"/>
        </w:rPr>
        <w:t>第</w:t>
      </w:r>
      <w:r>
        <w:rPr>
          <w:rFonts w:hint="eastAsia" w:ascii="Times New Roman"/>
          <w:sz w:val="30"/>
        </w:rPr>
        <w:t>三条</w:t>
      </w:r>
      <w:r>
        <w:rPr>
          <w:rFonts w:ascii="Times New Roman"/>
          <w:sz w:val="30"/>
        </w:rPr>
        <w:t xml:space="preserve">  </w:t>
      </w:r>
      <w:bookmarkStart w:id="75" w:name="_Toc79392573"/>
      <w:r>
        <w:rPr>
          <w:rFonts w:hint="eastAsia" w:ascii="Times New Roman"/>
          <w:sz w:val="30"/>
        </w:rPr>
        <w:t>理财产品的认购</w:t>
      </w:r>
      <w:bookmarkEnd w:id="72"/>
      <w:bookmarkEnd w:id="73"/>
      <w:bookmarkEnd w:id="74"/>
    </w:p>
    <w:p>
      <w:pPr>
        <w:spacing w:line="360" w:lineRule="auto"/>
        <w:ind w:firstLine="361" w:firstLineChars="200"/>
        <w:rPr>
          <w:rFonts w:asciiTheme="minorEastAsia" w:hAnsiTheme="minorEastAsia"/>
          <w:b/>
          <w:bCs/>
          <w:sz w:val="18"/>
          <w:szCs w:val="18"/>
        </w:rPr>
      </w:pPr>
      <w:bookmarkStart w:id="76" w:name="_Hlt88031774"/>
      <w:bookmarkEnd w:id="76"/>
      <w:bookmarkStart w:id="77"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17"/>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17"/>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10"/>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w:t>
            </w:r>
            <w:r>
              <w:rPr>
                <w:rFonts w:hint="eastAsia" w:cs="Times New Roman" w:asciiTheme="minorEastAsia" w:hAnsiTheme="minorEastAsia" w:eastAsiaTheme="minorEastAsia"/>
                <w:bCs/>
                <w:sz w:val="18"/>
                <w:szCs w:val="18"/>
              </w:rPr>
              <w:t>，并登记理财份额</w:t>
            </w:r>
            <w:r>
              <w:rPr>
                <w:rFonts w:hint="eastAsia" w:cs="Times New Roman" w:asciiTheme="minorEastAsia" w:hAnsiTheme="minorEastAsia"/>
                <w:bCs/>
                <w:kern w:val="0"/>
                <w:sz w:val="18"/>
                <w:szCs w:val="18"/>
              </w:rPr>
              <w:t>。</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17"/>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p>
    <w:p>
      <w:pPr>
        <w:pStyle w:val="17"/>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17"/>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17"/>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17"/>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17"/>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17"/>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17"/>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bookmarkStart w:id="78" w:name="_Toc116984887"/>
      <w:bookmarkStart w:id="79" w:name="_Toc79154667"/>
      <w:bookmarkStart w:id="80" w:name="_Toc92377133"/>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bookmarkEnd w:id="78"/>
      <w:bookmarkEnd w:id="79"/>
      <w:bookmarkEnd w:id="80"/>
    </w:p>
    <w:bookmarkEnd w:id="77"/>
    <w:p>
      <w:pPr>
        <w:pStyle w:val="17"/>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（一）理财产品的申购</w:t>
      </w:r>
    </w:p>
    <w:p>
      <w:pPr>
        <w:pStyle w:val="17"/>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申购的时间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本产品设置预约申购期，具体的预约申购期时间以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Ansi="宋体"/>
          <w:bCs/>
          <w:color w:val="auto"/>
          <w:sz w:val="18"/>
          <w:szCs w:val="18"/>
        </w:rPr>
        <w:t>投资者</w:t>
      </w:r>
      <w:r>
        <w:rPr>
          <w:rFonts w:hint="eastAsia" w:hAnsi="宋体"/>
          <w:bCs/>
          <w:color w:val="auto"/>
          <w:sz w:val="18"/>
          <w:szCs w:val="18"/>
        </w:rPr>
        <w:t>可在</w:t>
      </w:r>
      <w:r>
        <w:rPr>
          <w:rFonts w:hint="eastAsia" w:asciiTheme="majorEastAsia" w:hAnsiTheme="majorEastAsia" w:eastAsiaTheme="majorEastAsia"/>
          <w:bCs/>
          <w:color w:val="auto"/>
          <w:sz w:val="18"/>
          <w:szCs w:val="18"/>
        </w:rPr>
        <w:t>本产品预约申购期内提出预约申购申请。</w:t>
      </w:r>
    </w:p>
    <w:p>
      <w:pPr>
        <w:pStyle w:val="17"/>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2.申购的方式</w:t>
      </w:r>
    </w:p>
    <w:p>
      <w:pPr>
        <w:pStyle w:val="17"/>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投资者可通过</w:t>
      </w:r>
      <w:r>
        <w:rPr>
          <w:rFonts w:hint="eastAsia" w:asciiTheme="minorEastAsia" w:hAnsiTheme="minorEastAsia"/>
          <w:bCs/>
          <w:color w:val="auto"/>
          <w:sz w:val="18"/>
          <w:szCs w:val="18"/>
        </w:rPr>
        <w:t>销售机构的销售</w:t>
      </w:r>
      <w:r>
        <w:rPr>
          <w:rFonts w:asciiTheme="minorEastAsia" w:hAnsiTheme="minorEastAsia"/>
          <w:bCs/>
          <w:color w:val="auto"/>
          <w:sz w:val="18"/>
          <w:szCs w:val="18"/>
        </w:rPr>
        <w:t>渠道</w:t>
      </w:r>
      <w:r>
        <w:rPr>
          <w:rFonts w:hint="eastAsia" w:asciiTheme="minorEastAsia" w:hAnsiTheme="minorEastAsia"/>
          <w:bCs/>
          <w:color w:val="auto"/>
          <w:sz w:val="18"/>
          <w:szCs w:val="18"/>
        </w:rPr>
        <w:t>申购。不同销售机构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渠道，申购确认时效可能存在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17"/>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投资者通过</w:t>
      </w:r>
      <w:r>
        <w:rPr>
          <w:rFonts w:hint="eastAsia" w:asciiTheme="minorEastAsia" w:hAnsiTheme="minorEastAsia"/>
          <w:bCs/>
          <w:color w:val="auto"/>
          <w:sz w:val="18"/>
          <w:szCs w:val="18"/>
        </w:rPr>
        <w:t>销售机构线下</w:t>
      </w:r>
      <w:r>
        <w:rPr>
          <w:rFonts w:asciiTheme="minorEastAsia" w:hAnsiTheme="minorEastAsia"/>
          <w:bCs/>
          <w:color w:val="auto"/>
          <w:sz w:val="18"/>
          <w:szCs w:val="18"/>
        </w:rPr>
        <w:t>渠道申购</w:t>
      </w:r>
      <w:r>
        <w:rPr>
          <w:rFonts w:hint="eastAsia" w:asciiTheme="minorEastAsia" w:hAnsiTheme="minorEastAsia"/>
          <w:bCs/>
          <w:color w:val="auto"/>
          <w:sz w:val="18"/>
          <w:szCs w:val="18"/>
        </w:rPr>
        <w:t>的，应签署有关理财产品销售文件。</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投资者通过销售机构线上渠道申购的，应根据销售机构线上渠道的具体要求执行。</w:t>
      </w:r>
    </w:p>
    <w:p>
      <w:pPr>
        <w:pStyle w:val="17"/>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申购的确认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17"/>
        <w:spacing w:line="360" w:lineRule="auto"/>
        <w:ind w:firstLine="360" w:firstLineChars="200"/>
        <w:rPr>
          <w:rFonts w:asciiTheme="majorEastAsia" w:hAnsiTheme="majorEastAsia" w:eastAsiaTheme="majorEastAsia"/>
          <w:bCs/>
          <w:sz w:val="18"/>
          <w:szCs w:val="18"/>
        </w:rPr>
      </w:pPr>
      <w:r>
        <w:rPr>
          <w:rFonts w:hint="eastAsia" w:asciiTheme="minorEastAsia" w:hAnsiTheme="minorEastAsia"/>
          <w:bCs/>
          <w:color w:val="auto"/>
          <w:sz w:val="18"/>
          <w:szCs w:val="18"/>
        </w:rPr>
        <w:t>预约申购期内投资者可提交预约申购申请</w:t>
      </w:r>
      <w:r>
        <w:rPr>
          <w:rFonts w:hint="eastAsia" w:cs="Times New Roman" w:asciiTheme="minorEastAsia" w:hAnsiTheme="minorEastAsia" w:eastAsiaTheme="minorEastAsia"/>
          <w:color w:val="auto"/>
          <w:sz w:val="18"/>
          <w:szCs w:val="18"/>
        </w:rPr>
        <w:t>。</w:t>
      </w:r>
      <w:r>
        <w:rPr>
          <w:rFonts w:hint="eastAsia" w:asciiTheme="majorEastAsia" w:hAnsiTheme="majorEastAsia" w:eastAsiaTheme="majorEastAsia"/>
          <w:color w:val="auto"/>
          <w:sz w:val="18"/>
          <w:szCs w:val="18"/>
        </w:rPr>
        <w:t>提交预约申购申请并不代表申购成功，产品管理人将在申购确认日确认投资者是否申购成功。申购是否成功以管理人的确认结果为准</w:t>
      </w:r>
      <w:r>
        <w:rPr>
          <w:rFonts w:hint="eastAsia" w:asciiTheme="minorEastAsia" w:hAnsiTheme="minorEastAsia" w:eastAsiaTheme="minorEastAsia"/>
          <w:color w:val="auto"/>
          <w:sz w:val="18"/>
          <w:szCs w:val="18"/>
        </w:rPr>
        <w:t>。</w:t>
      </w:r>
      <w:r>
        <w:rPr>
          <w:rFonts w:hint="eastAsia" w:asciiTheme="minorEastAsia" w:hAnsiTheme="minorEastAsia" w:eastAsiaTheme="minorEastAsia"/>
          <w:bCs/>
          <w:color w:val="auto"/>
          <w:sz w:val="18"/>
          <w:szCs w:val="18"/>
        </w:rPr>
        <w:t>投资者可以在申购确认日系统完成处理后，查询产品份额。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.申购</w:t>
      </w:r>
      <w:r>
        <w:rPr>
          <w:rFonts w:asciiTheme="minorEastAsia" w:hAnsiTheme="minorEastAsia"/>
          <w:b/>
          <w:bCs/>
          <w:sz w:val="18"/>
          <w:szCs w:val="18"/>
        </w:rPr>
        <w:t>的价格</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申购价格为申购日的产品份额净值。</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申购的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17"/>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sz w:val="18"/>
          <w:szCs w:val="18"/>
        </w:rPr>
        <w:t>申购份额计算</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本产品的申购金额包括申购费用和净申购金额。申购份额的计算公式为：</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净申购金额=申购金额/（1+申购费率）</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申购费用=申购金额－净申购金额</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申购份额=净申购金额/申购日产品份额净值</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上述计算结果均按四舍五入方法，保留到小数点后2位，由此产生的收益或损失由理财产品承担。</w:t>
      </w:r>
    </w:p>
    <w:p>
      <w:pPr>
        <w:pStyle w:val="17"/>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申购的起点和递增金额</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申购</w:t>
      </w:r>
      <w:r>
        <w:rPr>
          <w:rFonts w:asciiTheme="minorEastAsia" w:hAnsiTheme="minorEastAsia" w:eastAsiaTheme="minorEastAsia"/>
          <w:b/>
          <w:color w:val="auto"/>
          <w:sz w:val="18"/>
          <w:szCs w:val="18"/>
        </w:rPr>
        <w:t>的数量限制</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（二）理财产品的赎回</w:t>
      </w:r>
    </w:p>
    <w:p>
      <w:pPr>
        <w:pStyle w:val="17"/>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赎回的时间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本产品设置预约赎回期，具体的预约赎回期时间以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Ansi="宋体"/>
          <w:bCs/>
          <w:color w:val="auto"/>
          <w:sz w:val="18"/>
          <w:szCs w:val="18"/>
        </w:rPr>
        <w:t>投资者</w:t>
      </w:r>
      <w:r>
        <w:rPr>
          <w:rFonts w:hint="eastAsia" w:hAnsi="宋体"/>
          <w:bCs/>
          <w:color w:val="auto"/>
          <w:sz w:val="18"/>
          <w:szCs w:val="18"/>
        </w:rPr>
        <w:t>可在</w:t>
      </w:r>
      <w:r>
        <w:rPr>
          <w:rFonts w:hint="eastAsia" w:asciiTheme="majorEastAsia" w:hAnsiTheme="majorEastAsia" w:eastAsiaTheme="majorEastAsia"/>
          <w:bCs/>
          <w:color w:val="auto"/>
          <w:sz w:val="18"/>
          <w:szCs w:val="18"/>
        </w:rPr>
        <w:t>本产品预约赎回期内提出预约赎回申请。</w:t>
      </w:r>
    </w:p>
    <w:p>
      <w:pPr>
        <w:pStyle w:val="17"/>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2.赎回的方式</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投资者可通过</w:t>
      </w:r>
      <w:r>
        <w:rPr>
          <w:rFonts w:hint="eastAsia" w:asciiTheme="majorEastAsia" w:hAnsiTheme="majorEastAsia" w:eastAsiaTheme="majorEastAsia"/>
          <w:color w:val="auto"/>
          <w:sz w:val="18"/>
          <w:szCs w:val="18"/>
        </w:rPr>
        <w:t>销售机构的销售</w:t>
      </w:r>
      <w:r>
        <w:rPr>
          <w:rFonts w:asciiTheme="majorEastAsia" w:hAnsiTheme="majorEastAsia" w:eastAsiaTheme="majorEastAsia"/>
          <w:color w:val="auto"/>
          <w:sz w:val="18"/>
          <w:szCs w:val="18"/>
        </w:rPr>
        <w:t>渠道</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w:t>
      </w:r>
      <w:r>
        <w:rPr>
          <w:rFonts w:hint="eastAsia" w:asciiTheme="minorEastAsia" w:hAnsiTheme="minorEastAsia"/>
          <w:bCs/>
          <w:color w:val="auto"/>
          <w:sz w:val="18"/>
          <w:szCs w:val="18"/>
        </w:rPr>
        <w:t>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渠道，赎回确认时效可能存在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w:t>
      </w:r>
      <w:r>
        <w:rPr>
          <w:rFonts w:asciiTheme="minorEastAsia" w:hAnsiTheme="minorEastAsia" w:eastAsiaTheme="minorEastAsia"/>
          <w:color w:val="auto"/>
          <w:sz w:val="18"/>
          <w:szCs w:val="18"/>
        </w:rPr>
        <w:t>渠道赎回的</w:t>
      </w:r>
      <w:r>
        <w:rPr>
          <w:rFonts w:hint="eastAsia" w:asciiTheme="majorEastAsia" w:hAnsiTheme="majorEastAsia" w:eastAsiaTheme="majorEastAsia"/>
          <w:color w:val="auto"/>
          <w:sz w:val="18"/>
          <w:szCs w:val="18"/>
        </w:rPr>
        <w:t>，应签署</w:t>
      </w:r>
      <w:r>
        <w:rPr>
          <w:rFonts w:hint="eastAsia" w:asciiTheme="minorEastAsia" w:hAnsiTheme="minorEastAsia"/>
          <w:bCs/>
          <w:color w:val="auto"/>
          <w:sz w:val="18"/>
          <w:szCs w:val="18"/>
        </w:rPr>
        <w:t>有关理财产品销售文件</w:t>
      </w:r>
      <w:r>
        <w:rPr>
          <w:rFonts w:hint="eastAsia" w:asciiTheme="majorEastAsia" w:hAnsiTheme="majorEastAsia" w:eastAsiaTheme="majorEastAsia"/>
          <w:color w:val="auto"/>
          <w:sz w:val="18"/>
          <w:szCs w:val="18"/>
        </w:rPr>
        <w:t>。</w:t>
      </w:r>
    </w:p>
    <w:p>
      <w:pPr>
        <w:pStyle w:val="17"/>
        <w:spacing w:line="360" w:lineRule="auto"/>
        <w:ind w:firstLine="360" w:firstLineChars="200"/>
        <w:rPr>
          <w:rFonts w:asciiTheme="minorEastAsia" w:hAnsiTheme="minorEastAsia"/>
          <w:bCs/>
          <w:color w:val="auto"/>
          <w:sz w:val="18"/>
          <w:szCs w:val="18"/>
        </w:rPr>
      </w:pPr>
      <w:r>
        <w:rPr>
          <w:rFonts w:hint="eastAsia" w:asciiTheme="majorEastAsia" w:hAnsiTheme="majorEastAsia" w:eastAsiaTheme="majorEastAsia"/>
          <w:color w:val="auto"/>
          <w:sz w:val="18"/>
          <w:szCs w:val="18"/>
        </w:rPr>
        <w:t>投资者通过销售机构线上渠道</w:t>
      </w:r>
      <w:r>
        <w:rPr>
          <w:rFonts w:hint="eastAsia" w:asciiTheme="minorEastAsia" w:hAnsiTheme="minorEastAsia" w:eastAsiaTheme="minorEastAsia"/>
          <w:color w:val="auto"/>
          <w:sz w:val="18"/>
          <w:szCs w:val="18"/>
        </w:rPr>
        <w:t>赎回的，</w:t>
      </w:r>
      <w:r>
        <w:rPr>
          <w:rFonts w:hint="eastAsia" w:asciiTheme="minorEastAsia" w:hAnsiTheme="minorEastAsia"/>
          <w:bCs/>
          <w:color w:val="auto"/>
          <w:sz w:val="18"/>
          <w:szCs w:val="18"/>
        </w:rPr>
        <w:t>应根据销售机构线上渠道的具体要求执行。</w:t>
      </w:r>
    </w:p>
    <w:p>
      <w:pPr>
        <w:pStyle w:val="17"/>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赎回的确认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spacing w:line="360" w:lineRule="auto"/>
        <w:ind w:firstLine="360" w:firstLineChars="200"/>
        <w:rPr>
          <w:rFonts w:asciiTheme="minorEastAsia" w:hAnsiTheme="minorEastAsia" w:eastAsiaTheme="minorEastAsia"/>
          <w:sz w:val="18"/>
          <w:szCs w:val="18"/>
        </w:rPr>
      </w:pPr>
      <w:r>
        <w:rPr>
          <w:rFonts w:hint="eastAsia" w:asciiTheme="minorEastAsia" w:hAnsiTheme="minorEastAsia"/>
          <w:bCs/>
          <w:sz w:val="18"/>
          <w:szCs w:val="18"/>
        </w:rPr>
        <w:t>预约赎回期内投资者可提交预约赎回申请</w:t>
      </w:r>
      <w:r>
        <w:rPr>
          <w:rFonts w:hint="eastAsia" w:cs="Times New Roman" w:asciiTheme="minorEastAsia" w:hAnsiTheme="minorEastAsia" w:eastAsiaTheme="minorEastAsia"/>
          <w:sz w:val="18"/>
          <w:szCs w:val="18"/>
        </w:rPr>
        <w:t>。</w:t>
      </w:r>
      <w:r>
        <w:rPr>
          <w:rFonts w:hint="eastAsia" w:asciiTheme="majorEastAsia" w:hAnsiTheme="majorEastAsia" w:eastAsiaTheme="majorEastAsia"/>
          <w:sz w:val="18"/>
          <w:szCs w:val="18"/>
        </w:rPr>
        <w:t>提交预约赎回申请并不代表赎回成功，产品管理人将在赎回确认日确认投资者是否赎回成功。赎回是否成功以管理人的确认结果为准</w:t>
      </w:r>
      <w:r>
        <w:rPr>
          <w:rFonts w:hint="eastAsia" w:asciiTheme="minorEastAsia" w:hAnsiTheme="minorEastAsia" w:eastAsiaTheme="minorEastAsia"/>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.赎回</w:t>
      </w:r>
      <w:r>
        <w:rPr>
          <w:rFonts w:asciiTheme="minorEastAsia" w:hAnsiTheme="minorEastAsia"/>
          <w:b/>
          <w:bCs/>
          <w:sz w:val="18"/>
          <w:szCs w:val="18"/>
        </w:rPr>
        <w:t>的价格</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赎回</w:t>
      </w:r>
      <w:r>
        <w:rPr>
          <w:rFonts w:asciiTheme="majorEastAsia" w:hAnsiTheme="majorEastAsia" w:eastAsiaTheme="majorEastAsia"/>
          <w:bCs/>
          <w:color w:val="auto"/>
          <w:sz w:val="18"/>
          <w:szCs w:val="18"/>
        </w:rPr>
        <w:t>价格为赎回日</w:t>
      </w:r>
      <w:r>
        <w:rPr>
          <w:rFonts w:hint="eastAsia" w:asciiTheme="majorEastAsia" w:hAnsiTheme="majorEastAsia" w:eastAsiaTheme="majorEastAsia"/>
          <w:bCs/>
          <w:color w:val="auto"/>
          <w:sz w:val="18"/>
          <w:szCs w:val="18"/>
        </w:rPr>
        <w:t>的</w:t>
      </w:r>
      <w:r>
        <w:rPr>
          <w:rFonts w:asciiTheme="majorEastAsia" w:hAnsiTheme="majorEastAsia" w:eastAsiaTheme="majorEastAsia"/>
          <w:bCs/>
          <w:color w:val="auto"/>
          <w:sz w:val="18"/>
          <w:szCs w:val="18"/>
        </w:rPr>
        <w:t>产品份额净值</w:t>
      </w:r>
      <w:r>
        <w:rPr>
          <w:rFonts w:hint="eastAsia" w:asciiTheme="majorEastAsia" w:hAnsiTheme="majorEastAsia" w:eastAsiaTheme="majorEastAsia"/>
          <w:bCs/>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赎回的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17"/>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color w:val="auto"/>
          <w:sz w:val="18"/>
          <w:szCs w:val="18"/>
        </w:rPr>
        <w:t>赎回</w:t>
      </w:r>
      <w:r>
        <w:rPr>
          <w:rFonts w:hint="eastAsia" w:asciiTheme="minorEastAsia" w:hAnsiTheme="minorEastAsia"/>
          <w:b/>
          <w:bCs/>
          <w:sz w:val="18"/>
          <w:szCs w:val="18"/>
        </w:rPr>
        <w:t>金额计算</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本产品赎回</w:t>
      </w:r>
      <w:r>
        <w:rPr>
          <w:rFonts w:asciiTheme="minorEastAsia" w:hAnsiTheme="minorEastAsia"/>
          <w:bCs/>
          <w:color w:val="auto"/>
          <w:sz w:val="18"/>
          <w:szCs w:val="18"/>
        </w:rPr>
        <w:t>金额</w:t>
      </w:r>
      <w:r>
        <w:rPr>
          <w:rFonts w:hint="eastAsia" w:asciiTheme="minorEastAsia" w:hAnsiTheme="minorEastAsia"/>
          <w:bCs/>
          <w:color w:val="auto"/>
          <w:sz w:val="18"/>
          <w:szCs w:val="18"/>
        </w:rPr>
        <w:t>的计算公式如下：</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赎回总金额=赎回份额×赎回日该产品份额净值</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赎回费用=赎回总金额×赎回费率</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净赎回金额=赎回总金额-赎回费用</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上述计算结果均按四舍五入方法，保留到小数点后</w:t>
      </w: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位，由此产生的收益或损失由理财产品承担。</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b/>
          <w:bCs/>
          <w:color w:val="auto"/>
          <w:sz w:val="18"/>
          <w:szCs w:val="18"/>
        </w:rPr>
        <w:t>赎回</w:t>
      </w:r>
      <w:r>
        <w:rPr>
          <w:rFonts w:asciiTheme="minorEastAsia" w:hAnsiTheme="minorEastAsia" w:eastAsiaTheme="minorEastAsia"/>
          <w:b/>
          <w:color w:val="auto"/>
          <w:sz w:val="18"/>
          <w:szCs w:val="18"/>
        </w:rPr>
        <w:t>的数量限制</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（三）</w:t>
      </w:r>
      <w:r>
        <w:rPr>
          <w:rFonts w:hint="eastAsia" w:asciiTheme="majorEastAsia" w:hAnsiTheme="majorEastAsia" w:eastAsiaTheme="majorEastAsia"/>
          <w:b/>
          <w:color w:val="auto"/>
          <w:sz w:val="18"/>
          <w:szCs w:val="18"/>
        </w:rPr>
        <w:t>申购与赎回的原则</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金额申购、份额赎回</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原则，即申购以金额申请，赎回以份额申请。</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2.</w:t>
      </w:r>
      <w:r>
        <w:rPr>
          <w:rFonts w:asciiTheme="majorEastAsia" w:hAnsiTheme="majorEastAsia" w:eastAsiaTheme="majorEastAsia"/>
          <w:bCs/>
          <w:color w:val="auto"/>
          <w:sz w:val="18"/>
          <w:szCs w:val="18"/>
        </w:rPr>
        <w:t>申购和赎回采用“</w:t>
      </w:r>
      <w:r>
        <w:rPr>
          <w:rFonts w:hint="eastAsia" w:asciiTheme="majorEastAsia" w:hAnsiTheme="majorEastAsia" w:eastAsiaTheme="majorEastAsia"/>
          <w:bCs/>
          <w:color w:val="auto"/>
          <w:sz w:val="18"/>
          <w:szCs w:val="18"/>
        </w:rPr>
        <w:t>未知价</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原则，即本产品申购申请和赎回申请提交时，适用的产品份额净值都是未知的。</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3.</w:t>
      </w:r>
      <w:r>
        <w:rPr>
          <w:rFonts w:asciiTheme="majorEastAsia" w:hAnsiTheme="majorEastAsia" w:eastAsiaTheme="majorEastAsia"/>
          <w:color w:val="auto"/>
          <w:sz w:val="18"/>
          <w:szCs w:val="18"/>
        </w:rPr>
        <w:t>申购、</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申请可以在对应申购</w:t>
      </w:r>
      <w:r>
        <w:rPr>
          <w:rFonts w:hint="eastAsia" w:asciiTheme="majorEastAsia" w:hAnsiTheme="majorEastAsia" w:eastAsiaTheme="majorEastAsia"/>
          <w:color w:val="auto"/>
          <w:sz w:val="18"/>
          <w:szCs w:val="18"/>
        </w:rPr>
        <w:t>日、</w:t>
      </w:r>
      <w:r>
        <w:rPr>
          <w:rFonts w:asciiTheme="majorEastAsia" w:hAnsiTheme="majorEastAsia" w:eastAsiaTheme="majorEastAsia"/>
          <w:color w:val="auto"/>
          <w:sz w:val="18"/>
          <w:szCs w:val="18"/>
        </w:rPr>
        <w:t>赎回</w:t>
      </w:r>
      <w:r>
        <w:rPr>
          <w:rFonts w:hint="eastAsia" w:asciiTheme="majorEastAsia" w:hAnsiTheme="majorEastAsia" w:eastAsiaTheme="majorEastAsia"/>
          <w:color w:val="auto"/>
          <w:sz w:val="18"/>
          <w:szCs w:val="18"/>
        </w:rPr>
        <w:t>日交易时间</w:t>
      </w:r>
      <w:r>
        <w:rPr>
          <w:rFonts w:asciiTheme="majorEastAsia" w:hAnsiTheme="majorEastAsia" w:eastAsiaTheme="majorEastAsia"/>
          <w:color w:val="auto"/>
          <w:sz w:val="18"/>
          <w:szCs w:val="18"/>
        </w:rPr>
        <w:t>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赎回遵循“先进先出”原则，即按照投资者认购、申购的先后次序进行顺序赎回。</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（四）拒绝或暂停申购的情形</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w:t>
      </w:r>
      <w:r>
        <w:rPr>
          <w:rFonts w:asciiTheme="majorEastAsia" w:hAnsiTheme="majorEastAsia" w:eastAsiaTheme="majorEastAsia"/>
          <w:color w:val="auto"/>
          <w:sz w:val="18"/>
          <w:szCs w:val="18"/>
        </w:rPr>
        <w:t>申购申请：</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.发生暂停理财资产估值情况时，产品管理人可暂停接受投资者的申购申请。</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.本产品出现当日净收益小于零的情形，为保护持有人的权益，产品管理人可暂停本产品的申购。</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.产品管理人认为接受某笔或某些申购申请可能会影响或损害现有理财份额持有人权益时。</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.理财产品规模过大，产品管理人无法找到合适的投资品种，或其他可能对理财业绩产生负面影响，从而损害现有理财份额持有人权益的情形。</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8</w:t>
      </w:r>
      <w:r>
        <w:rPr>
          <w:rFonts w:hint="eastAsia" w:asciiTheme="majorEastAsia" w:hAnsiTheme="majorEastAsia" w:eastAsiaTheme="majorEastAsia"/>
          <w:color w:val="auto"/>
          <w:sz w:val="18"/>
          <w:szCs w:val="18"/>
        </w:rPr>
        <w:t>.法律法规规定或监管机构认定的其他情形。</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如果投资者的申购申请被拒绝，被拒绝的申购款项将退还给投资者。在暂停申购的情况消除时，产品管理人应及时恢复申购业务的办理。</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（五）暂停赎回或延缓支付赎回款项的情形</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发生下列情形时，产品管理人可暂停接受投资者的赎回申请或延缓支付赎回款项：</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.因不可抗力导致产品管理人不能支付赎回款项。</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.发生暂停理财资产估值情况时，产品管理人可暂停接受投资者的赎回申请或延缓支付赎回款项。</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证券交易所或银行间市场出现异常市场情况，管理人无法</w:t>
      </w:r>
      <w:r>
        <w:rPr>
          <w:rFonts w:hint="eastAsia" w:asciiTheme="majorEastAsia" w:hAnsiTheme="majorEastAsia" w:eastAsiaTheme="majorEastAsia"/>
          <w:color w:val="auto"/>
          <w:sz w:val="18"/>
          <w:szCs w:val="18"/>
        </w:rPr>
        <w:t>开展产品的</w:t>
      </w:r>
      <w:r>
        <w:rPr>
          <w:rFonts w:asciiTheme="majorEastAsia" w:hAnsiTheme="majorEastAsia" w:eastAsiaTheme="majorEastAsia"/>
          <w:color w:val="auto"/>
          <w:sz w:val="18"/>
          <w:szCs w:val="18"/>
        </w:rPr>
        <w:t>流动性</w:t>
      </w:r>
      <w:r>
        <w:rPr>
          <w:rFonts w:hint="eastAsia" w:asciiTheme="majorEastAsia" w:hAnsiTheme="majorEastAsia" w:eastAsiaTheme="majorEastAsia"/>
          <w:color w:val="auto"/>
          <w:sz w:val="18"/>
          <w:szCs w:val="18"/>
        </w:rPr>
        <w:t>管理</w:t>
      </w:r>
      <w:r>
        <w:rPr>
          <w:rFonts w:asciiTheme="majorEastAsia" w:hAnsiTheme="majorEastAsia" w:eastAsiaTheme="majorEastAsia"/>
          <w:color w:val="auto"/>
          <w:sz w:val="18"/>
          <w:szCs w:val="18"/>
        </w:rPr>
        <w:t>。</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.本产品出现当日净收益小于零的情形，为保护持有人的权益，产品管理人可暂停本产品的赎回。</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.发生单个投资者在赎回日申请赎回的理财产品份额超过限额的。</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7.发生巨额赎回。</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8.产品管理人和产品托管人的技术保障等异常情况导致理财销售系统或会计系统无法正常运行。</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9.证券交易所或银行间市场数据传输延迟、通讯系统故障、银行系统故障或其他非产品管理人及产品托管人所能控制的因素影响了产品运作流程。</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10.法律法规规定或监管机构认定的其他情形。</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bCs/>
          <w:sz w:val="18"/>
          <w:szCs w:val="18"/>
        </w:rPr>
        <w:t>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w:t>
      </w:r>
      <w:r>
        <w:rPr>
          <w:rFonts w:hint="eastAsia" w:asciiTheme="majorEastAsia" w:hAnsiTheme="majorEastAsia" w:eastAsiaTheme="majorEastAsia"/>
          <w:color w:val="auto"/>
          <w:sz w:val="18"/>
          <w:szCs w:val="18"/>
        </w:rPr>
        <w:t>在暂停赎回或延缓支付赎回款项的情况消除时，产品管理人应及时恢复赎回或支付业务赎回款项的办理。</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（六）巨额赎回的情形及</w:t>
      </w:r>
      <w:r>
        <w:rPr>
          <w:rFonts w:asciiTheme="majorEastAsia" w:hAnsiTheme="majorEastAsia" w:eastAsiaTheme="majorEastAsia"/>
          <w:b/>
          <w:color w:val="auto"/>
          <w:sz w:val="18"/>
          <w:szCs w:val="18"/>
        </w:rPr>
        <w:t>处理方式</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巨额赎回的认定</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巨额赎回的处理方式</w:t>
      </w:r>
    </w:p>
    <w:p>
      <w:pPr>
        <w:widowControl/>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出现巨额赎回时，产品管理人有权决定：（1）</w:t>
      </w:r>
      <w:r>
        <w:rPr>
          <w:rFonts w:asciiTheme="majorEastAsia" w:hAnsiTheme="majorEastAsia" w:eastAsiaTheme="majorEastAsia"/>
          <w:bCs/>
          <w:sz w:val="18"/>
          <w:szCs w:val="18"/>
        </w:rPr>
        <w:t>不接受</w:t>
      </w:r>
      <w:r>
        <w:rPr>
          <w:rFonts w:hint="eastAsia" w:asciiTheme="majorEastAsia" w:hAnsiTheme="majorEastAsia" w:eastAsiaTheme="majorEastAsia"/>
          <w:bCs/>
          <w:sz w:val="18"/>
          <w:szCs w:val="18"/>
        </w:rPr>
        <w:t>超出部分的净预约赎回申请，但投资者可于下一预约赎回期重新进行预约赎回申请；（</w:t>
      </w:r>
      <w:r>
        <w:rPr>
          <w:rFonts w:asciiTheme="majorEastAsia" w:hAnsiTheme="majorEastAsia" w:eastAsiaTheme="majorEastAsia"/>
          <w:bCs/>
          <w:sz w:val="18"/>
          <w:szCs w:val="18"/>
        </w:rPr>
        <w:t>2）延缓支付赎回款项</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如产品管理人认为有必要，</w:t>
      </w:r>
      <w:r>
        <w:rPr>
          <w:rFonts w:hint="eastAsia" w:asciiTheme="majorEastAsia" w:hAnsiTheme="majorEastAsia" w:eastAsiaTheme="majorEastAsia"/>
          <w:bCs/>
          <w:sz w:val="18"/>
          <w:szCs w:val="18"/>
        </w:rPr>
        <w:t>针对</w:t>
      </w:r>
      <w:r>
        <w:rPr>
          <w:rFonts w:asciiTheme="majorEastAsia" w:hAnsiTheme="majorEastAsia" w:eastAsiaTheme="majorEastAsia"/>
          <w:bCs/>
          <w:sz w:val="18"/>
          <w:szCs w:val="18"/>
        </w:rPr>
        <w:t>已经</w:t>
      </w:r>
      <w:r>
        <w:rPr>
          <w:rFonts w:hint="eastAsia" w:asciiTheme="majorEastAsia" w:hAnsiTheme="majorEastAsia" w:eastAsiaTheme="majorEastAsia"/>
          <w:bCs/>
          <w:sz w:val="18"/>
          <w:szCs w:val="18"/>
        </w:rPr>
        <w:t>确认</w:t>
      </w:r>
      <w:r>
        <w:rPr>
          <w:rFonts w:asciiTheme="majorEastAsia" w:hAnsiTheme="majorEastAsia" w:eastAsiaTheme="majorEastAsia"/>
          <w:bCs/>
          <w:sz w:val="18"/>
          <w:szCs w:val="18"/>
        </w:rPr>
        <w:t>的赎回申请</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可以延缓支付赎回款项。延缓支付赎回款项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。（3）法律法规规定或监管机构规定的其他措施。</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巨额赎回的公告</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在发生巨额赎回产品管理人暂停接受投资者预约赎回申请时，产品管理人将依约定发布相关公告信息。</w:t>
      </w:r>
    </w:p>
    <w:p>
      <w:pPr>
        <w:pStyle w:val="17"/>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（七）日期遇非工作日的调整</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申购日、申购确认日、赎回日以及赎回确认日等）如遇非工作日则产品管理人可做相应调整。产品管理人对上述日期保留变更的权利，调整后的日期以产品管理人发布的公告中所载明的日期为准。</w:t>
      </w:r>
    </w:p>
    <w:p>
      <w:pPr>
        <w:pStyle w:val="17"/>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（八）投资者持有理财份额的限额和理财产品总规模限额</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bookmarkEnd w:id="75"/>
    <w:p>
      <w:pPr>
        <w:pStyle w:val="2"/>
        <w:spacing w:before="0" w:after="0" w:line="360" w:lineRule="auto"/>
        <w:jc w:val="center"/>
        <w:rPr>
          <w:rFonts w:ascii="Times New Roman"/>
          <w:sz w:val="30"/>
        </w:rPr>
      </w:pPr>
      <w:bookmarkStart w:id="81" w:name="_Toc79154668"/>
      <w:bookmarkStart w:id="82" w:name="_Toc29948"/>
      <w:bookmarkStart w:id="83" w:name="_Toc27189"/>
      <w:bookmarkStart w:id="84" w:name="_Toc90742321"/>
      <w:bookmarkStart w:id="85" w:name="_Toc90742390"/>
      <w:bookmarkStart w:id="86" w:name="_Toc15203"/>
      <w:bookmarkStart w:id="87" w:name="_Toc90742688"/>
      <w:bookmarkStart w:id="88" w:name="_Toc7151"/>
      <w:bookmarkStart w:id="89" w:name="_Toc6714"/>
      <w:bookmarkStart w:id="90" w:name="_Toc74065741"/>
      <w:bookmarkStart w:id="91" w:name="_Toc116984888"/>
      <w:bookmarkStart w:id="92" w:name="_Toc27226"/>
      <w:bookmarkStart w:id="93" w:name="_Toc22074"/>
      <w:bookmarkStart w:id="94" w:name="_Toc16265"/>
      <w:bookmarkStart w:id="95" w:name="_Toc92377134"/>
      <w:bookmarkStart w:id="96" w:name="_Toc29784"/>
      <w:bookmarkStart w:id="97" w:name="_Toc3266"/>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在严格控制组合风险的前提下，通过不断优化组合，力争实现超越业绩比较基准的收益。</w:t>
      </w:r>
    </w:p>
    <w:p>
      <w:pPr>
        <w:pStyle w:val="17"/>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本产品主要投资范围包括但不限于（实际投资范围可根据法律法规及监管规定进行调整）：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（1）银行存款、债券逆回购、货币基金等货币市场工具及其它银行间和交易所资金融通工具；</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（3）符合监管要求的债权类资产；</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（4）国债期货、利率互换、信用风险缓释工具、债券借贷等；</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（5）股票型基金、混合债券型二级基金、混合型基金、优先股以及</w:t>
      </w:r>
      <w:r>
        <w:rPr>
          <w:rFonts w:hint="eastAsia" w:asciiTheme="majorEastAsia" w:hAnsiTheme="majorEastAsia" w:eastAsiaTheme="majorEastAsia"/>
          <w:bCs/>
          <w:color w:val="000000" w:themeColor="text1"/>
          <w:sz w:val="18"/>
          <w:szCs w:val="18"/>
          <w14:textFill>
            <w14:solidFill>
              <w14:schemeClr w14:val="tx1"/>
            </w14:solidFill>
          </w14:textFill>
        </w:rPr>
        <w:t>通过信托公司、基金管理公司、证券公司、期货公司、保险公司及上述机构的子公司等国家法律法规允许的机构投资于权益类资产；</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（6）投资于上述资产的符合监管要求的公募基金、基金公司或子公司资产管理计划、证券公司资产管理计划、保险资产管理计划及信托计划等；</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（7）其他风险不高于前述资产的资产。</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2.投资组合比例</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1）本产品投资于债权类资产的比例不低于产品总资产的80%；投资于股票资产的比例合计不超过产品总资产的5%。</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（2）国债期货、利率互换、债券借贷的合约价值占产品总资产比例不高于5%。</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（3）非标准化债权类资产占产品净资产比例不高于50%。</w:t>
      </w:r>
    </w:p>
    <w:p>
      <w:pPr>
        <w:autoSpaceDE w:val="0"/>
        <w:autoSpaceDN w:val="0"/>
        <w:adjustRightInd w:val="0"/>
        <w:spacing w:line="360" w:lineRule="auto"/>
        <w:ind w:firstLine="361" w:firstLineChars="200"/>
        <w:jc w:val="left"/>
        <w:rPr>
          <w:rFonts w:asciiTheme="majorEastAsia" w:hAnsiTheme="majorEastAsia" w:eastAsiaTheme="majorEastAsia"/>
          <w:bCs/>
          <w:sz w:val="18"/>
          <w:szCs w:val="18"/>
        </w:rPr>
      </w:pPr>
      <w:r>
        <w:rPr>
          <w:rFonts w:hint="eastAsia" w:asciiTheme="majorEastAsia" w:hAnsiTheme="majorEastAsia" w:eastAsiaTheme="majorEastAsia"/>
          <w:b/>
          <w:sz w:val="18"/>
          <w:szCs w:val="18"/>
        </w:rPr>
        <w:t>注：本产品可能投资不存在活跃交易市场，并且需要采用估值技术确定公允价值的资产，且投资上述资产的比例达到理财产品净资产50%以上</w:t>
      </w:r>
      <w:r>
        <w:rPr>
          <w:rFonts w:hint="eastAsia" w:asciiTheme="majorEastAsia" w:hAnsiTheme="majorEastAsia" w:eastAsiaTheme="majorEastAsia"/>
          <w:b/>
          <w:bCs/>
          <w:sz w:val="18"/>
          <w:szCs w:val="18"/>
        </w:rPr>
        <w:t>。</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.如果法律法规对本销售文件约定投资组合比例限制进行变更的，以变更后的规定为准。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产品管理人应当根据市场情况调整投资范围、投资资产种类或投资比例，并进行相应公告。超出前述约定投资比例的，除高风险类型的理财产品超出比例范围投资较低风险资产外，</w:t>
      </w:r>
      <w:r>
        <w:rPr>
          <w:rFonts w:ascii="黑体" w:hAnsi="黑体" w:eastAsia="黑体"/>
          <w:bCs/>
          <w:sz w:val="18"/>
          <w:szCs w:val="18"/>
        </w:rPr>
        <w:t>投资者有权不接受变更</w:t>
      </w:r>
      <w:r>
        <w:rPr>
          <w:rFonts w:hint="eastAsia" w:ascii="黑体" w:hAnsi="黑体" w:eastAsia="黑体"/>
          <w:bCs/>
          <w:sz w:val="18"/>
          <w:szCs w:val="18"/>
        </w:rPr>
        <w:t>，并通过赎回退出本产品。</w:t>
      </w:r>
    </w:p>
    <w:p>
      <w:pPr>
        <w:pStyle w:val="17"/>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17"/>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本</w:t>
      </w:r>
      <w:r>
        <w:rPr>
          <w:rFonts w:hint="eastAsia" w:asciiTheme="majorEastAsia" w:hAnsiTheme="majorEastAsia" w:eastAsiaTheme="majorEastAsia"/>
          <w:color w:val="auto"/>
          <w:sz w:val="18"/>
          <w:szCs w:val="18"/>
        </w:rPr>
        <w:t>产品投资单只证券或者单只公募证券投资基金的市值不得超过该理财产品净资产的</w:t>
      </w:r>
      <w:r>
        <w:rPr>
          <w:rFonts w:asciiTheme="majorEastAsia" w:hAnsiTheme="majorEastAsia" w:eastAsiaTheme="majorEastAsia"/>
          <w:color w:val="auto"/>
          <w:sz w:val="18"/>
          <w:szCs w:val="18"/>
        </w:rPr>
        <w:t>10%</w:t>
      </w:r>
      <w:r>
        <w:rPr>
          <w:rFonts w:hint="eastAsia" w:asciiTheme="majorEastAsia" w:hAnsiTheme="majorEastAsia" w:eastAsiaTheme="majorEastAsia"/>
          <w:color w:val="auto"/>
          <w:sz w:val="18"/>
          <w:szCs w:val="18"/>
        </w:rPr>
        <w:t>。</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（2）本产品管理人全部公募理财产品持有单只证券或单只公募证券投资基金的市值，不得超过该证券市值或该公募证券投资基金市值的30%。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（3）本产品管理人全部理财产品持有单一上市公司发行的股票，不得超过该上市公司可流通股票的30%。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（4）本产品管理人全部开放式公募理财产品投资单一上市公司发行的股票不得超过该上市公司可流通股票的15%。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（5）本产品直接投资于流动性受限资产的市值在开放日不得超过该产品资产净值的15%。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因证券市场波动、上市公司股票停牌、理财产品规模变动等因素导致理财产品不符合本款规定比例限制的，该理财产品不得主动新增投资流动性受限资产。</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每只开放式公募理财产品定期开放周期不低于90天的，在开放日及开放日前7个工作日内持有不低于该产品资产净值5%的现金或者到期日在一年以内的国债、中央银行票据和政策性金融债券。其他开放式公募理财产品持续满足持有不低于该产品资产净值5%的现金或者到期日在一年以内的国债、中央银行票据和政策性金融债券。</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7）本产品每日确认且需当日支付的净赎回申请不超过前一工作日产品7个工作日可变现资产的可变现价值，银保监会另有规定的除外。在开放日前一工作日内，本产品7个工作日可变现资产的可变现价值应当不低于该产品资产净值的10%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kern w:val="0"/>
          <w:sz w:val="18"/>
          <w:szCs w:val="18"/>
        </w:rPr>
        <w:t>（8）本产品因为流动性需要可开展存单质押、债券正回购等融资业务，本产品总资产不超过净资产的140%</w:t>
      </w:r>
      <w:r>
        <w:rPr>
          <w:rFonts w:hint="eastAsia"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通过产品主要投资于债权类资产，以绝对收益为投资目标，并配置一定比例的权益类资产，把握股票市场的投资机会，为投资者提供长期稳定的投资回报。其中权益类资产主要为混合债券型二级基金以及打新策略为主的混合型基金中的股票投资。</w:t>
      </w:r>
    </w:p>
    <w:p>
      <w:pPr>
        <w:pStyle w:val="7"/>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8" w:name="_Toc21988"/>
      <w:bookmarkStart w:id="99" w:name="_Toc1823"/>
      <w:bookmarkStart w:id="100" w:name="_Toc18329"/>
      <w:bookmarkStart w:id="101" w:name="_Toc4741"/>
      <w:bookmarkStart w:id="102" w:name="_Toc79154669"/>
      <w:bookmarkStart w:id="103" w:name="_Toc14893"/>
      <w:bookmarkStart w:id="104" w:name="_Toc18797"/>
      <w:bookmarkStart w:id="105" w:name="_Toc141703885"/>
      <w:bookmarkStart w:id="106" w:name="_Toc18526"/>
      <w:bookmarkStart w:id="107" w:name="_Toc17912"/>
      <w:bookmarkStart w:id="108" w:name="_Toc116984889"/>
      <w:bookmarkStart w:id="109" w:name="_Toc7848"/>
      <w:bookmarkStart w:id="110" w:name="_Toc74065742"/>
      <w:bookmarkStart w:id="111" w:name="_Toc26986"/>
      <w:bookmarkStart w:id="112" w:name="_Toc139991735"/>
      <w:bookmarkStart w:id="113" w:name="_Toc92377135"/>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17"/>
        <w:spacing w:line="360" w:lineRule="auto"/>
        <w:ind w:firstLine="361" w:firstLineChars="200"/>
        <w:rPr>
          <w:rFonts w:asciiTheme="majorEastAsia" w:hAnsiTheme="majorEastAsia" w:eastAsiaTheme="majorEastAsia"/>
          <w:b/>
          <w:color w:val="auto"/>
          <w:sz w:val="18"/>
          <w:szCs w:val="18"/>
        </w:rPr>
      </w:pPr>
      <w:bookmarkStart w:id="114" w:name="_Hlk490214295"/>
      <w:r>
        <w:rPr>
          <w:rFonts w:hint="eastAsia" w:asciiTheme="majorEastAsia" w:hAnsiTheme="majorEastAsia" w:eastAsiaTheme="majorEastAsia"/>
          <w:b/>
          <w:color w:val="auto"/>
          <w:sz w:val="18"/>
          <w:szCs w:val="18"/>
        </w:rPr>
        <w:t>（一）理财产品的资产的保管和处分</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114"/>
    <w:p>
      <w:pPr>
        <w:pStyle w:val="2"/>
        <w:spacing w:before="0" w:after="0" w:line="360" w:lineRule="auto"/>
        <w:jc w:val="center"/>
        <w:rPr>
          <w:rFonts w:ascii="Times New Roman"/>
          <w:sz w:val="28"/>
          <w:szCs w:val="28"/>
        </w:rPr>
      </w:pPr>
      <w:bookmarkStart w:id="115" w:name="_Toc92377136"/>
      <w:bookmarkStart w:id="116" w:name="_Toc116984890"/>
      <w:bookmarkStart w:id="117" w:name="_Toc83391971"/>
      <w:bookmarkStart w:id="118" w:name="_Toc23261"/>
      <w:bookmarkStart w:id="119" w:name="_Toc98560352"/>
      <w:bookmarkStart w:id="120" w:name="_Toc74065743"/>
      <w:bookmarkStart w:id="121" w:name="_Toc17244"/>
      <w:bookmarkStart w:id="122" w:name="_Toc48649707"/>
      <w:bookmarkStart w:id="123" w:name="_Toc123112234"/>
      <w:bookmarkStart w:id="124" w:name="_Toc139991736"/>
      <w:bookmarkStart w:id="125" w:name="_Toc123102453"/>
      <w:bookmarkStart w:id="126" w:name="_Toc20733"/>
      <w:bookmarkStart w:id="127" w:name="_Toc610"/>
      <w:bookmarkStart w:id="128" w:name="_Toc10463"/>
      <w:bookmarkStart w:id="129" w:name="_Toc141703886"/>
      <w:bookmarkStart w:id="130" w:name="_Toc79392606"/>
      <w:bookmarkStart w:id="131" w:name="_Toc4003"/>
      <w:bookmarkStart w:id="132" w:name="_Toc23822"/>
      <w:bookmarkStart w:id="133" w:name="_Toc7920"/>
      <w:bookmarkStart w:id="134" w:name="_Toc123051452"/>
      <w:bookmarkStart w:id="135" w:name="_Toc1427"/>
      <w:bookmarkStart w:id="136" w:name="_Toc79154670"/>
      <w:bookmarkStart w:id="137" w:name="_Toc1270"/>
      <w:r>
        <w:rPr>
          <w:rFonts w:hint="eastAsia" w:ascii="Times New Roman"/>
          <w:sz w:val="28"/>
          <w:szCs w:val="28"/>
        </w:rPr>
        <w:t>第七条</w:t>
      </w:r>
      <w:r>
        <w:rPr>
          <w:rFonts w:ascii="Times New Roman"/>
          <w:sz w:val="28"/>
          <w:szCs w:val="28"/>
        </w:rPr>
        <w:t xml:space="preserve">  </w:t>
      </w:r>
      <w:r>
        <w:rPr>
          <w:rFonts w:hint="eastAsia" w:ascii="Times New Roman"/>
          <w:sz w:val="28"/>
          <w:szCs w:val="28"/>
        </w:rPr>
        <w:t>理财产品项下资产的估值</w:t>
      </w:r>
      <w:bookmarkEnd w:id="115"/>
      <w:bookmarkEnd w:id="116"/>
      <w:bookmarkEnd w:id="117"/>
    </w:p>
    <w:p>
      <w:pPr>
        <w:pStyle w:val="17"/>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17"/>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（一）估值目的</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理财资产估值的目的是客观、准确地反映理财资产是否保值、增值。</w:t>
      </w:r>
    </w:p>
    <w:p>
      <w:pPr>
        <w:pStyle w:val="17"/>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（二）估值频率</w:t>
      </w:r>
    </w:p>
    <w:p>
      <w:pPr>
        <w:pStyle w:val="7"/>
        <w:spacing w:line="360" w:lineRule="auto"/>
        <w:ind w:firstLine="360" w:firstLineChars="200"/>
        <w:rPr>
          <w:rFonts w:asciiTheme="minorEastAsia" w:hAnsiTheme="minorEastAsia" w:eastAsiaTheme="minorEastAsia"/>
          <w:color w:val="2E3033"/>
          <w:sz w:val="18"/>
          <w:szCs w:val="18"/>
        </w:rPr>
      </w:pPr>
      <w:r>
        <w:rPr>
          <w:rFonts w:hint="eastAsia" w:asciiTheme="minorEastAsia" w:hAnsiTheme="minorEastAsia" w:eastAsiaTheme="minorEastAsia"/>
          <w:sz w:val="18"/>
          <w:szCs w:val="18"/>
        </w:rPr>
        <w:t>本产品存续期间</w:t>
      </w:r>
      <w:r>
        <w:rPr>
          <w:rFonts w:hint="eastAsia" w:cs="Times New Roman" w:asciiTheme="minorEastAsia" w:hAnsiTheme="minorEastAsia" w:eastAsiaTheme="minorEastAsia"/>
          <w:sz w:val="18"/>
          <w:szCs w:val="18"/>
        </w:rPr>
        <w:t>，每【周】进行一次估值。如遇产品</w:t>
      </w:r>
      <w:r>
        <w:rPr>
          <w:rFonts w:cs="Times New Roman" w:asciiTheme="minorEastAsia" w:hAnsiTheme="minorEastAsia" w:eastAsiaTheme="minorEastAsia"/>
          <w:sz w:val="18"/>
          <w:szCs w:val="18"/>
        </w:rPr>
        <w:t>申购</w:t>
      </w:r>
      <w:r>
        <w:rPr>
          <w:rFonts w:hint="eastAsia" w:cs="Times New Roman" w:asciiTheme="minorEastAsia" w:hAnsiTheme="minorEastAsia" w:eastAsiaTheme="minorEastAsia"/>
          <w:sz w:val="18"/>
          <w:szCs w:val="18"/>
        </w:rPr>
        <w:t>日</w:t>
      </w:r>
      <w:r>
        <w:rPr>
          <w:rFonts w:cs="Times New Roman" w:asciiTheme="minorEastAsia" w:hAnsiTheme="minorEastAsia" w:eastAsiaTheme="minorEastAsia"/>
          <w:sz w:val="18"/>
          <w:szCs w:val="18"/>
        </w:rPr>
        <w:t>/赎回</w:t>
      </w:r>
      <w:r>
        <w:rPr>
          <w:rFonts w:hint="eastAsia" w:cs="Times New Roman" w:asciiTheme="minorEastAsia" w:hAnsiTheme="minorEastAsia" w:eastAsiaTheme="minorEastAsia"/>
          <w:sz w:val="18"/>
          <w:szCs w:val="18"/>
        </w:rPr>
        <w:t>日、季度末</w:t>
      </w:r>
      <w:r>
        <w:rPr>
          <w:rFonts w:cs="Times New Roman" w:asciiTheme="minorEastAsia" w:hAnsiTheme="minorEastAsia" w:eastAsiaTheme="minorEastAsia"/>
          <w:sz w:val="18"/>
          <w:szCs w:val="18"/>
        </w:rPr>
        <w:t>、半年度</w:t>
      </w:r>
      <w:r>
        <w:rPr>
          <w:rFonts w:hint="eastAsia" w:cs="Times New Roman" w:asciiTheme="minorEastAsia" w:hAnsiTheme="minorEastAsia" w:eastAsiaTheme="minorEastAsia"/>
          <w:sz w:val="18"/>
          <w:szCs w:val="18"/>
        </w:rPr>
        <w:t>末</w:t>
      </w:r>
      <w:r>
        <w:rPr>
          <w:rFonts w:cs="Times New Roman" w:asciiTheme="minorEastAsia" w:hAnsiTheme="minorEastAsia" w:eastAsiaTheme="minorEastAsia"/>
          <w:sz w:val="18"/>
          <w:szCs w:val="18"/>
        </w:rPr>
        <w:t>、年度</w:t>
      </w:r>
      <w:r>
        <w:rPr>
          <w:rFonts w:hint="eastAsia" w:cs="Times New Roman" w:asciiTheme="minorEastAsia" w:hAnsiTheme="minorEastAsia" w:eastAsiaTheme="minorEastAsia"/>
          <w:sz w:val="18"/>
          <w:szCs w:val="18"/>
        </w:rPr>
        <w:t>末等时间节点管理</w:t>
      </w:r>
      <w:r>
        <w:rPr>
          <w:rFonts w:cs="Times New Roman" w:asciiTheme="minorEastAsia" w:hAnsiTheme="minorEastAsia" w:eastAsiaTheme="minorEastAsia"/>
          <w:sz w:val="18"/>
          <w:szCs w:val="18"/>
        </w:rPr>
        <w:t>人将</w:t>
      </w:r>
      <w:r>
        <w:rPr>
          <w:rFonts w:hint="eastAsia" w:cs="Times New Roman" w:asciiTheme="minorEastAsia" w:hAnsiTheme="minorEastAsia" w:eastAsiaTheme="minorEastAsia"/>
          <w:sz w:val="18"/>
          <w:szCs w:val="18"/>
        </w:rPr>
        <w:t>增加估值日</w:t>
      </w:r>
      <w:r>
        <w:rPr>
          <w:rFonts w:hint="eastAsia" w:asciiTheme="minorEastAsia" w:hAnsiTheme="minorEastAsia" w:eastAsiaTheme="minorEastAsia"/>
          <w:color w:val="2E3033"/>
          <w:sz w:val="18"/>
          <w:szCs w:val="18"/>
        </w:rPr>
        <w:t>。</w:t>
      </w:r>
    </w:p>
    <w:p>
      <w:pPr>
        <w:pStyle w:val="17"/>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（三）估值对象</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本产品所拥有的各类证券、资产管理产品、银行存款、应收款项、其它投资等资产及负债。</w:t>
      </w:r>
    </w:p>
    <w:p>
      <w:pPr>
        <w:pStyle w:val="17"/>
        <w:spacing w:line="360" w:lineRule="auto"/>
        <w:ind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（四）估值方法</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w:t>
      </w:r>
      <w:r>
        <w:rPr>
          <w:rFonts w:hint="eastAsia" w:asciiTheme="minorEastAsia" w:hAnsiTheme="minorEastAsia" w:eastAsiaTheme="minorEastAsia"/>
          <w:b/>
          <w:color w:val="auto"/>
          <w:sz w:val="18"/>
          <w:szCs w:val="18"/>
        </w:rPr>
        <w:t>标准化债权类资产估值</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1）债券类资产以公允价值计量，主要依据为第三方估值机构提供的价格数据。</w:t>
      </w:r>
      <w:r>
        <w:rPr>
          <w:rFonts w:hint="eastAsia" w:asciiTheme="majorEastAsia" w:hAnsiTheme="majorEastAsia" w:eastAsiaTheme="majorEastAsia"/>
          <w:bCs/>
          <w:color w:val="auto"/>
          <w:sz w:val="18"/>
          <w:szCs w:val="18"/>
        </w:rPr>
        <w:t>第三方估值机构包括：中央国债登记结算公司和中证指数有限公司。</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2）在证券交易所上市的债券，如第三方估值机构提供的估值价格与市场收盘价存在差异，且管理人认为收盘价更能体现其公允价值，可与托管人协商一致后采用收盘价进行估值。</w:t>
      </w:r>
    </w:p>
    <w:p>
      <w:pPr>
        <w:pStyle w:val="17"/>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对在交易所上市的资产支持证券和私募债，鉴于其不存在活跃市场，或未来现金流难以确定，导致第三方估值数据和市场收盘价均无法准确反映其公允价值的，可采用估值技术对其进行估值，管理人会对估值模型的有效性进行持续有效评估，并尽可能地予以修正。</w:t>
      </w:r>
      <w:r>
        <w:rPr>
          <w:rFonts w:asciiTheme="majorEastAsia" w:hAnsiTheme="majorEastAsia" w:eastAsiaTheme="majorEastAsia"/>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对在银行间市场或交易所市场已发行未上市流通的债券，且第三方估值机构未提供估值数据，采用估值技术确定其公允价值。</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5）同一债券同时在两个或两个以上市场交易的，按债券所处的市场及相应的估值标准，分别进行估值。</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3.非标准化债权类资产</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非标准化债权类资产，是指不满足中国人民银行制定的标准化债权类资产认定标准的债权类资产。可选取第三方估值机构的价格数据或采用估值技术进行估值。</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4.上市公司股票</w:t>
      </w:r>
      <w:r>
        <w:rPr>
          <w:rFonts w:hint="eastAsia" w:asciiTheme="majorEastAsia" w:hAnsiTheme="majorEastAsia" w:eastAsiaTheme="majorEastAsia"/>
          <w:b/>
          <w:bCs/>
          <w:color w:val="auto"/>
          <w:sz w:val="18"/>
          <w:szCs w:val="18"/>
        </w:rPr>
        <w:t>估值</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上市公司股票包括正常流通普通股、流通受限股票、长期停牌股票和新发行未上市股票。具体估值方法如下：</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2）送股、转增股、配股和公开增发新股等发行未上市的股票，按估值日在证券交易所上市的同一股票的收盘价或最近交易日的收盘价确定公允价值。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3）通过公开、非公开等方式取得且有明确限售期的股票，在限售期内，应以证券交易所上市交易的同一股票的公允价值为基础，引入流动性折扣进行估值。</w:t>
      </w:r>
      <w:r>
        <w:rPr>
          <w:rFonts w:hint="eastAsia" w:asciiTheme="minorEastAsia" w:hAnsiTheme="minorEastAsia" w:eastAsiaTheme="minorEastAsia"/>
          <w:color w:val="auto"/>
          <w:sz w:val="18"/>
          <w:szCs w:val="18"/>
        </w:rPr>
        <w:t>流动性折扣可依据第三方估值机构提供的数据，或采用看跌期权法以及其他合理的估值方法分析确定。</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4）长期停牌股票，</w:t>
      </w:r>
      <w:r>
        <w:rPr>
          <w:rFonts w:hint="eastAsia" w:asciiTheme="minorEastAsia" w:hAnsiTheme="minorEastAsia" w:eastAsiaTheme="minorEastAsia"/>
          <w:color w:val="auto"/>
          <w:sz w:val="18"/>
          <w:szCs w:val="18"/>
        </w:rPr>
        <w:t>根据停牌原因、停牌时间及停牌公司公告等信息，采用估值技术确定公允价值。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5.未上市公司股权</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以公允价值计量，应综合考虑被评估企业实际情况、市场交易情况及其他可获得的信息，采用市场法、收益法、重置成本法等估值技术，结合流动性折扣等因素评估公允价值。</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6.</w:t>
      </w:r>
      <w:r>
        <w:rPr>
          <w:rFonts w:hint="eastAsia" w:asciiTheme="minorEastAsia" w:hAnsiTheme="minorEastAsia" w:eastAsiaTheme="minorEastAsia"/>
          <w:b/>
          <w:color w:val="auto"/>
          <w:sz w:val="18"/>
          <w:szCs w:val="18"/>
        </w:rPr>
        <w:t>优先股</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eastAsiaTheme="minorEastAsia"/>
          <w:b/>
          <w:color w:val="auto"/>
          <w:sz w:val="18"/>
          <w:szCs w:val="18"/>
        </w:rPr>
        <w:t>证券投资基金估值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1）非上市基金估值</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1)本产品投资的境内非货币市场基金，按所投资基金估值日的基金份额净值估值；估值日基金净值未公布的，以基金管理人公布的最近一个工作日基金份额净值计算。</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2)本产品投资的境内货币市场基金，按所投资基金前一估值日后至估值日期间（含节假日）的万份收益计提估值日基金收益。</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2）上市基金估值</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1)本产品投资的ETF基金、境内上市定期开放式基金、封闭式基金，按照所投资基金估值日的收盘价估</w:t>
      </w:r>
      <w:r>
        <w:rPr>
          <w:rFonts w:hint="eastAsia" w:asciiTheme="minorEastAsia" w:hAnsiTheme="minorEastAsia" w:eastAsiaTheme="minorEastAsia"/>
          <w:color w:val="auto"/>
          <w:sz w:val="18"/>
          <w:szCs w:val="18"/>
        </w:rPr>
        <w:t>值；估值日无交易的，以最近交易日的收盘价估值。</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2)本产品投资的境内上市开放式基金（LOF），按所投资基金估值日的基金份额净值估值；估值日基金净值未公布的，以基金管理人公布的最近一个工作日基金份额净值计算。</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其他资产管理产品的估值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其他资产管理产品，指理财产品投资的除证券投资基金以外的其他资产管理产品，主要包括：</w:t>
      </w:r>
      <w:r>
        <w:rPr>
          <w:rFonts w:hint="eastAsia" w:asciiTheme="minorEastAsia" w:hAnsiTheme="minorEastAsia" w:eastAsiaTheme="minorEastAsia"/>
          <w:bCs/>
          <w:sz w:val="18"/>
          <w:szCs w:val="18"/>
        </w:rPr>
        <w:t>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若无法获取净值，产品管理人可与托管人商定后，采用在当前情况下适用的估值技术确定公允价值。</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9.衍生金融工具估值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asciiTheme="minorEastAsia" w:hAnsiTheme="minorEastAsia" w:eastAsiaTheme="minorEastAsia"/>
          <w:color w:val="auto"/>
          <w:sz w:val="18"/>
          <w:szCs w:val="18"/>
        </w:rPr>
        <w:t xml:space="preserve"> </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10.</w:t>
      </w:r>
      <w:r>
        <w:rPr>
          <w:rFonts w:hint="eastAsia" w:asciiTheme="minorEastAsia" w:hAnsiTheme="minorEastAsia" w:eastAsiaTheme="minorEastAsia"/>
          <w:b/>
          <w:color w:val="auto"/>
          <w:sz w:val="18"/>
          <w:szCs w:val="18"/>
        </w:rPr>
        <w:t>存款、拆借、回购等货币市场工具的估值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以本金列示，按商定利率在实际持有期间内逐日计提利息。如有估值技术能更准确反映其公允价值的，采用估值技术进行估值。</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w:t>
      </w:r>
      <w:r>
        <w:rPr>
          <w:rFonts w:hint="eastAsia" w:asciiTheme="minorEastAsia" w:hAnsiTheme="minorEastAsia" w:eastAsiaTheme="minor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12.当开放式公募理财产品（现金管理类理财产品除外）遭遇大额申购或赎回时，管理人可以采用摆动定价机制，以确保估值的公平性。具体操作按照相关法律法规、监管规定和自律规则执行。</w:t>
      </w:r>
    </w:p>
    <w:p>
      <w:pPr>
        <w:pStyle w:val="17"/>
        <w:spacing w:line="360" w:lineRule="auto"/>
        <w:ind w:firstLine="360" w:firstLineChars="200"/>
        <w:rPr>
          <w:rFonts w:ascii="黑体" w:hAnsi="黑体" w:eastAsia="黑体"/>
          <w:color w:val="auto"/>
          <w:sz w:val="18"/>
          <w:szCs w:val="18"/>
        </w:rPr>
      </w:pPr>
      <w:r>
        <w:rPr>
          <w:rFonts w:ascii="黑体" w:hAnsi="黑体" w:eastAsia="黑体"/>
          <w:color w:val="auto"/>
          <w:sz w:val="18"/>
          <w:szCs w:val="18"/>
        </w:rPr>
        <w:t>1</w:t>
      </w:r>
      <w:r>
        <w:rPr>
          <w:rFonts w:hint="eastAsia" w:ascii="黑体" w:hAnsi="黑体" w:eastAsia="黑体"/>
          <w:color w:val="auto"/>
          <w:sz w:val="18"/>
          <w:szCs w:val="18"/>
        </w:rPr>
        <w:t>3</w:t>
      </w:r>
      <w:r>
        <w:rPr>
          <w:rFonts w:ascii="黑体" w:hAnsi="黑体" w:eastAsia="黑体"/>
          <w:color w:val="auto"/>
          <w:sz w:val="18"/>
          <w:szCs w:val="18"/>
        </w:rPr>
        <w:t>.</w:t>
      </w:r>
      <w:r>
        <w:rPr>
          <w:rFonts w:hint="eastAsia" w:ascii="黑体" w:hAnsi="黑体" w:eastAsia="黑体"/>
          <w:color w:val="auto"/>
          <w:sz w:val="18"/>
          <w:szCs w:val="18"/>
        </w:rPr>
        <w:t>★估值方法的调整</w:t>
      </w:r>
    </w:p>
    <w:p>
      <w:pPr>
        <w:pStyle w:val="17"/>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若因相关法律法规以及监管部门有规定，需要调整估值方法的，管理人应按相关规定要求使用调整后的估值方法进行估值。</w:t>
      </w:r>
    </w:p>
    <w:p>
      <w:pPr>
        <w:pStyle w:val="17"/>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（五）估值程序</w:t>
      </w:r>
    </w:p>
    <w:p>
      <w:pPr>
        <w:pStyle w:val="17"/>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产品份额净值是按照估值日产品资产净值除以当日产品总份额计算，</w:t>
      </w:r>
      <w:r>
        <w:rPr>
          <w:rFonts w:asciiTheme="minorEastAsia" w:hAnsiTheme="minorEastAsia" w:eastAsiaTheme="minorEastAsia"/>
          <w:bCs/>
          <w:color w:val="auto"/>
          <w:sz w:val="18"/>
          <w:szCs w:val="18"/>
        </w:rPr>
        <w:t>四舍五入保留5位小数</w:t>
      </w:r>
      <w:r>
        <w:rPr>
          <w:rFonts w:hint="eastAsia" w:asciiTheme="minorEastAsia" w:hAnsiTheme="minorEastAsia" w:eastAsiaTheme="minorEastAsia"/>
          <w:color w:val="auto"/>
          <w:sz w:val="18"/>
          <w:szCs w:val="18"/>
        </w:rPr>
        <w:t>。国家另有规定的，从其规定。</w:t>
      </w:r>
      <w:r>
        <w:rPr>
          <w:rFonts w:hint="eastAsia" w:asciiTheme="minorEastAsia" w:hAnsiTheme="minorEastAsia" w:eastAsiaTheme="minorEastAsia"/>
          <w:bCs/>
          <w:color w:val="auto"/>
          <w:sz w:val="18"/>
          <w:szCs w:val="18"/>
        </w:rPr>
        <w:t>发生巨额赎回时，为保护投资者利益，产品管理人可提高单位产品净值的精度。</w:t>
      </w:r>
    </w:p>
    <w:p>
      <w:pPr>
        <w:pStyle w:val="17"/>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 xml:space="preserve">2.产品管理人对理财资产估值后，将产品份额净值发送产品托管人，经产品托管人复核无误后，由产品管理人按规定对外公布。 </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 xml:space="preserve">3. </w:t>
      </w:r>
      <w:r>
        <w:rPr>
          <w:rFonts w:hint="eastAsia" w:asciiTheme="minorEastAsia" w:hAnsiTheme="minorEastAsia" w:eastAsiaTheme="minor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pPr>
        <w:pStyle w:val="17"/>
        <w:spacing w:line="360" w:lineRule="auto"/>
        <w:ind w:firstLine="361" w:firstLineChars="200"/>
        <w:rPr>
          <w:rFonts w:cs="Times New Roman" w:asciiTheme="minorEastAsia" w:hAnsiTheme="minorEastAsia" w:eastAsiaTheme="minorEastAsia"/>
          <w:b/>
          <w:color w:val="auto"/>
          <w:sz w:val="18"/>
          <w:szCs w:val="18"/>
        </w:rPr>
      </w:pPr>
      <w:r>
        <w:rPr>
          <w:rFonts w:hint="eastAsia" w:cs="Times New Roman" w:asciiTheme="minorEastAsia" w:hAnsiTheme="minorEastAsia" w:eastAsiaTheme="minorEastAsia"/>
          <w:b/>
          <w:color w:val="auto"/>
          <w:sz w:val="18"/>
          <w:szCs w:val="18"/>
        </w:rPr>
        <w:t>（六）估值主体</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17"/>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17"/>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17"/>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17"/>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17"/>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17"/>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Pr>
        <w:pStyle w:val="2"/>
        <w:spacing w:before="0" w:after="0" w:line="360" w:lineRule="auto"/>
        <w:ind w:left="60" w:firstLine="10"/>
        <w:jc w:val="center"/>
        <w:rPr>
          <w:rFonts w:ascii="Times New Roman"/>
          <w:sz w:val="30"/>
        </w:rPr>
      </w:pPr>
      <w:bookmarkStart w:id="138" w:name="_Hlt70481650"/>
      <w:bookmarkEnd w:id="138"/>
      <w:bookmarkStart w:id="139" w:name="_Toc92377137"/>
      <w:bookmarkStart w:id="140" w:name="_Toc12245"/>
      <w:bookmarkStart w:id="141" w:name="_Toc6405"/>
      <w:bookmarkStart w:id="142" w:name="_Toc98560353"/>
      <w:bookmarkStart w:id="143" w:name="_Toc74065744"/>
      <w:bookmarkStart w:id="144" w:name="_Toc116984891"/>
      <w:bookmarkStart w:id="145" w:name="_Toc31644"/>
      <w:bookmarkStart w:id="146" w:name="_Toc15143"/>
      <w:bookmarkStart w:id="147" w:name="_Toc14835"/>
      <w:bookmarkStart w:id="148" w:name="_Toc123112235"/>
      <w:bookmarkStart w:id="149" w:name="_Toc123051453"/>
      <w:bookmarkStart w:id="150" w:name="_Toc141703887"/>
      <w:bookmarkStart w:id="151" w:name="_Toc31653"/>
      <w:bookmarkStart w:id="152" w:name="_Toc29251"/>
      <w:bookmarkStart w:id="153" w:name="_Toc79154671"/>
      <w:bookmarkStart w:id="154" w:name="_Toc139991737"/>
      <w:bookmarkStart w:id="155" w:name="_Toc3601"/>
      <w:bookmarkStart w:id="156" w:name="_Toc26207"/>
      <w:bookmarkStart w:id="157" w:name="_Toc31235"/>
      <w:bookmarkStart w:id="158" w:name="_Toc123102454"/>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Start w:id="159" w:name="_Hlt55355235"/>
      <w:bookmarkEnd w:id="159"/>
      <w:bookmarkStart w:id="160" w:name="_Toc523711668"/>
      <w:bookmarkStart w:id="161" w:name="_Toc57530239"/>
      <w:bookmarkStart w:id="162" w:name="_Toc15118234"/>
      <w:bookmarkStart w:id="163" w:name="_Toc79392580"/>
    </w:p>
    <w:p>
      <w:pPr>
        <w:pStyle w:val="17"/>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17"/>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17"/>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17"/>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17"/>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17"/>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17"/>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17"/>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17"/>
        <w:tabs>
          <w:tab w:val="left" w:pos="321"/>
        </w:tabs>
        <w:spacing w:line="360" w:lineRule="auto"/>
        <w:ind w:firstLine="361" w:firstLineChars="200"/>
        <w:rPr>
          <w:rFonts w:hAnsi="宋体"/>
          <w:b/>
          <w:bCs/>
          <w:color w:val="auto"/>
          <w:sz w:val="18"/>
          <w:szCs w:val="18"/>
        </w:rPr>
      </w:pPr>
      <w:r>
        <w:rPr>
          <w:rFonts w:hint="eastAsia" w:hAnsi="宋体"/>
          <w:b/>
          <w:bCs/>
          <w:color w:val="auto"/>
          <w:sz w:val="18"/>
          <w:szCs w:val="18"/>
        </w:rPr>
        <w:tab/>
      </w:r>
      <w:r>
        <w:rPr>
          <w:rFonts w:hint="eastAsia" w:hAnsi="宋体"/>
          <w:b/>
          <w:bCs/>
          <w:color w:val="auto"/>
          <w:sz w:val="18"/>
          <w:szCs w:val="18"/>
        </w:rPr>
        <w:t>1.分配方案要点：</w:t>
      </w:r>
    </w:p>
    <w:p>
      <w:pPr>
        <w:pStyle w:val="17"/>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17"/>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17"/>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17"/>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17"/>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17"/>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17"/>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17"/>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
      <w:pPr>
        <w:widowControl/>
        <w:spacing w:line="360" w:lineRule="auto"/>
        <w:jc w:val="left"/>
        <w:rPr>
          <w:rFonts w:ascii="宋体" w:hAnsi="宋体"/>
          <w:kern w:val="0"/>
          <w:sz w:val="18"/>
          <w:szCs w:val="18"/>
        </w:rPr>
      </w:pPr>
      <w:r>
        <w:rPr>
          <w:rFonts w:hAnsi="宋体"/>
          <w:sz w:val="18"/>
          <w:szCs w:val="18"/>
        </w:rPr>
        <w:br w:type="page"/>
      </w:r>
    </w:p>
    <w:bookmarkEnd w:id="160"/>
    <w:bookmarkEnd w:id="161"/>
    <w:bookmarkEnd w:id="162"/>
    <w:bookmarkEnd w:id="163"/>
    <w:p>
      <w:pPr>
        <w:pStyle w:val="2"/>
        <w:spacing w:before="0" w:after="0" w:line="360" w:lineRule="auto"/>
        <w:jc w:val="center"/>
        <w:rPr>
          <w:rFonts w:ascii="Times New Roman"/>
          <w:sz w:val="30"/>
        </w:rPr>
      </w:pPr>
      <w:bookmarkStart w:id="164" w:name="_Hlt88825574"/>
      <w:bookmarkEnd w:id="164"/>
      <w:bookmarkStart w:id="165" w:name="_Hlt88897298"/>
      <w:bookmarkEnd w:id="165"/>
      <w:bookmarkStart w:id="166" w:name="_Toc10650"/>
      <w:bookmarkStart w:id="167" w:name="_Toc139991738"/>
      <w:bookmarkStart w:id="168" w:name="_Toc6447"/>
      <w:bookmarkStart w:id="169" w:name="_Toc79154672"/>
      <w:bookmarkStart w:id="170" w:name="_Toc123102455"/>
      <w:bookmarkStart w:id="171" w:name="_Toc7058"/>
      <w:bookmarkStart w:id="172" w:name="_Toc11030"/>
      <w:bookmarkStart w:id="173" w:name="_Toc3771"/>
      <w:bookmarkStart w:id="174" w:name="_Toc141703888"/>
      <w:bookmarkStart w:id="175" w:name="_Toc9706"/>
      <w:bookmarkStart w:id="176" w:name="_Toc123112236"/>
      <w:bookmarkStart w:id="177" w:name="_Toc4559"/>
      <w:bookmarkStart w:id="178" w:name="_Toc18567"/>
      <w:bookmarkStart w:id="179" w:name="_Toc92377138"/>
      <w:bookmarkStart w:id="180" w:name="_Toc25783"/>
      <w:bookmarkStart w:id="181" w:name="_Toc123051454"/>
      <w:bookmarkStart w:id="182" w:name="_Toc74065745"/>
      <w:bookmarkStart w:id="183" w:name="_Toc98560354"/>
      <w:bookmarkStart w:id="184" w:name="_Toc116984892"/>
      <w:bookmarkStart w:id="185" w:name="_Toc3321"/>
      <w:bookmarkStart w:id="186" w:name="_Toc79392583"/>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1）理财产品的认购费、申购费、赎回费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）理财产品的认购费、申购费、赎回费</w:t>
      </w:r>
    </w:p>
    <w:p>
      <w:pPr>
        <w:widowControl/>
        <w:spacing w:line="360" w:lineRule="auto"/>
        <w:ind w:firstLine="360" w:firstLineChars="200"/>
        <w:jc w:val="left"/>
        <w:rPr>
          <w:rFonts w:ascii="宋体" w:hAnsi="宋体"/>
          <w:sz w:val="18"/>
          <w:szCs w:val="18"/>
        </w:rPr>
      </w:pPr>
      <w:r>
        <w:rPr>
          <w:rFonts w:ascii="宋体" w:hAnsi="宋体"/>
          <w:kern w:val="0"/>
          <w:sz w:val="18"/>
          <w:szCs w:val="18"/>
        </w:rPr>
        <w:t>1）认购费：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2）申购费：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Style w:val="14"/>
          <w:rFonts w:ascii="宋体" w:hAnsi="宋体"/>
          <w:kern w:val="0"/>
        </w:rPr>
      </w:pPr>
      <w:r>
        <w:rPr>
          <w:rFonts w:ascii="宋体" w:hAnsi="宋体"/>
          <w:kern w:val="0"/>
          <w:sz w:val="18"/>
          <w:szCs w:val="18"/>
        </w:rPr>
        <w:t>3</w:t>
      </w:r>
      <w:r>
        <w:rPr>
          <w:rFonts w:hint="eastAsia" w:ascii="宋体" w:hAnsi="宋体"/>
          <w:kern w:val="0"/>
          <w:sz w:val="18"/>
          <w:szCs w:val="18"/>
        </w:rPr>
        <w:t>）赎回费：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17"/>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业绩报酬计提基准的设置、超额业绩报酬的具体比例数值以《产品说明书》“第二条 理财产品基本情况”为准。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③在每个投资周期赎回日提取超额业绩报酬的，超额业绩报酬从理财资金中扣除；在产品终止日提取超额业绩报酬的，超额业绩报酬从清算资金中扣除。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每份产品份额超额业绩报酬每日计提，每个投资周期赎回日或产品终止日结算。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产品管理人对每份产品份额当前年化收益率（R）超过当前业绩报酬计提基准的部分，按比例（N）以及该份产品份额当前投资周期天数（D）提取超额业绩报酬，计算方法如下：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当R＞当前业绩报酬计提基准，超额业绩报酬=投资者持有的产品份额数量×产品成立日或当前投资周期产品份额申购日的产品份额净值×（R-当前业绩报酬计提基准）×N×D/365。</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17"/>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17"/>
        <w:spacing w:line="360" w:lineRule="auto"/>
        <w:ind w:firstLine="360" w:firstLineChars="200"/>
        <w:rPr>
          <w:rFonts w:ascii="黑体" w:hAnsi="黑体" w:eastAsia="黑体"/>
          <w:color w:val="auto"/>
          <w:sz w:val="18"/>
        </w:rPr>
      </w:pPr>
      <w:r>
        <w:rPr>
          <w:rFonts w:hint="eastAsia" w:ascii="黑体" w:hAnsi="黑体" w:eastAsia="黑体"/>
          <w:color w:val="auto"/>
          <w:sz w:val="18"/>
        </w:rPr>
        <w:t>（1）发生巨额赎回时，为保护投资者利益，产品管理人有权对赎回日至赎回确认日之间的各项费用进行减免。</w:t>
      </w:r>
    </w:p>
    <w:p>
      <w:pPr>
        <w:pStyle w:val="17"/>
        <w:spacing w:line="360" w:lineRule="auto"/>
        <w:ind w:firstLine="360" w:firstLineChars="200"/>
        <w:rPr>
          <w:rFonts w:ascii="黑体" w:hAnsi="黑体" w:eastAsia="黑体"/>
          <w:b/>
          <w:color w:val="auto"/>
          <w:sz w:val="18"/>
        </w:rPr>
      </w:pPr>
      <w:r>
        <w:rPr>
          <w:rFonts w:hint="eastAsia" w:ascii="黑体" w:hAnsi="黑体" w:eastAsia="黑体"/>
          <w:color w:val="auto"/>
          <w:sz w:val="18"/>
        </w:rPr>
        <w:t>（2）产品管理人有权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87" w:name="_Toc3963"/>
      <w:bookmarkStart w:id="188" w:name="_Toc1745"/>
      <w:r>
        <w:br w:type="page"/>
      </w:r>
      <w:bookmarkStart w:id="189" w:name="_Toc116984893"/>
      <w:bookmarkStart w:id="190" w:name="_Toc98560355"/>
      <w:bookmarkStart w:id="191" w:name="_Toc74065746"/>
      <w:bookmarkStart w:id="192" w:name="_Toc123051455"/>
      <w:bookmarkStart w:id="193" w:name="_Toc139991739"/>
      <w:bookmarkStart w:id="194" w:name="_Toc79154673"/>
      <w:bookmarkStart w:id="195" w:name="_Toc141703889"/>
      <w:bookmarkStart w:id="196" w:name="_Toc3572"/>
      <w:bookmarkStart w:id="197" w:name="_Toc16164"/>
      <w:bookmarkStart w:id="198" w:name="_Toc31821"/>
      <w:bookmarkStart w:id="199" w:name="_Toc92377139"/>
      <w:bookmarkStart w:id="200" w:name="_Toc123112237"/>
      <w:bookmarkStart w:id="201" w:name="_Toc21735"/>
      <w:bookmarkStart w:id="202" w:name="_Toc123102456"/>
      <w:bookmarkStart w:id="203" w:name="_Toc10398"/>
      <w:bookmarkStart w:id="204" w:name="_Toc18206"/>
      <w:bookmarkStart w:id="205" w:name="_Toc725"/>
      <w:bookmarkStart w:id="206" w:name="_Toc3080"/>
      <w:r>
        <w:rPr>
          <w:rFonts w:hint="eastAsia"/>
          <w:sz w:val="30"/>
        </w:rPr>
        <w:t>第十条</w:t>
      </w:r>
      <w:r>
        <w:rPr>
          <w:sz w:val="30"/>
        </w:rPr>
        <w:t xml:space="preserve">  </w:t>
      </w:r>
      <w:r>
        <w:rPr>
          <w:rFonts w:hint="eastAsia"/>
          <w:sz w:val="30"/>
        </w:rPr>
        <w:t>理财产品的终止与清算</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spacing w:line="360" w:lineRule="auto"/>
        <w:ind w:firstLine="361" w:firstLineChars="200"/>
        <w:rPr>
          <w:rFonts w:asciiTheme="majorEastAsia" w:hAnsiTheme="majorEastAsia" w:eastAsiaTheme="majorEastAsia"/>
          <w:b/>
          <w:bCs/>
          <w:sz w:val="18"/>
          <w:szCs w:val="18"/>
        </w:rPr>
      </w:pPr>
      <w:bookmarkStart w:id="207" w:name="_Toc15118245"/>
      <w:bookmarkStart w:id="208" w:name="_Toc79392593"/>
      <w:bookmarkStart w:id="209"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207"/>
    <w:bookmarkEnd w:id="208"/>
    <w:bookmarkEnd w:id="209"/>
    <w:p>
      <w:pPr>
        <w:pStyle w:val="2"/>
        <w:spacing w:before="0" w:after="0" w:line="360" w:lineRule="auto"/>
        <w:jc w:val="center"/>
        <w:rPr>
          <w:rFonts w:ascii="Times New Roman"/>
          <w:sz w:val="18"/>
          <w:szCs w:val="18"/>
        </w:rPr>
      </w:pPr>
      <w:r>
        <w:rPr>
          <w:rFonts w:ascii="Times New Roman"/>
          <w:b w:val="0"/>
          <w:bCs w:val="0"/>
          <w:kern w:val="2"/>
        </w:rPr>
        <w:br w:type="page"/>
      </w:r>
      <w:bookmarkStart w:id="210" w:name="_Toc92377140"/>
      <w:bookmarkStart w:id="211" w:name="_Toc116984894"/>
      <w:bookmarkStart w:id="212" w:name="_Toc3329"/>
      <w:bookmarkStart w:id="213" w:name="_Toc123112238"/>
      <w:bookmarkStart w:id="214" w:name="_Toc32584"/>
      <w:bookmarkStart w:id="215" w:name="_Toc123051456"/>
      <w:bookmarkStart w:id="216" w:name="_Toc17198"/>
      <w:bookmarkStart w:id="217" w:name="_Toc739"/>
      <w:bookmarkStart w:id="218" w:name="_Toc123102457"/>
      <w:bookmarkStart w:id="219" w:name="_Toc29408"/>
      <w:bookmarkStart w:id="220" w:name="_Toc17920"/>
      <w:bookmarkStart w:id="221" w:name="_Toc21237"/>
      <w:bookmarkStart w:id="222" w:name="_Toc5170"/>
      <w:bookmarkStart w:id="223" w:name="_Toc74065747"/>
      <w:bookmarkStart w:id="224" w:name="_Toc79154674"/>
      <w:bookmarkStart w:id="225" w:name="_Toc8791"/>
      <w:bookmarkStart w:id="226" w:name="_Toc32092"/>
      <w:bookmarkStart w:id="227" w:name="_Toc83391975"/>
      <w:bookmarkStart w:id="228" w:name="_Toc79392622"/>
      <w:bookmarkStart w:id="229" w:name="_Toc48649708"/>
      <w:bookmarkStart w:id="230" w:name="_Toc139991740"/>
      <w:bookmarkStart w:id="231" w:name="_Toc98560356"/>
      <w:bookmarkStart w:id="232" w:name="_Toc141703890"/>
      <w:r>
        <w:rPr>
          <w:rFonts w:hint="eastAsia" w:ascii="Times New Roman"/>
          <w:sz w:val="28"/>
          <w:szCs w:val="28"/>
        </w:rPr>
        <w:t>第十一条</w:t>
      </w:r>
      <w:r>
        <w:rPr>
          <w:rFonts w:ascii="Times New Roman"/>
          <w:sz w:val="28"/>
          <w:szCs w:val="28"/>
        </w:rPr>
        <w:t xml:space="preserve">  </w:t>
      </w:r>
      <w:r>
        <w:rPr>
          <w:rFonts w:hint="eastAsia" w:ascii="Times New Roman"/>
          <w:sz w:val="28"/>
          <w:szCs w:val="28"/>
        </w:rPr>
        <w:t>理财产品的信息披露</w:t>
      </w:r>
      <w:bookmarkEnd w:id="210"/>
      <w:bookmarkEnd w:id="211"/>
    </w:p>
    <w:p>
      <w:pPr>
        <w:spacing w:line="360" w:lineRule="auto"/>
        <w:ind w:firstLine="361" w:firstLineChars="200"/>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firstLineChars="200"/>
        <w:rPr>
          <w:rFonts w:ascii="宋体" w:hAnsi="宋体"/>
          <w:bCs/>
          <w:sz w:val="18"/>
          <w:szCs w:val="18"/>
        </w:rPr>
      </w:pPr>
      <w:r>
        <w:rPr>
          <w:rFonts w:ascii="宋体" w:hAnsi="宋体"/>
          <w:bCs/>
          <w:sz w:val="18"/>
          <w:szCs w:val="18"/>
        </w:rPr>
        <w:t>3.定期报告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ascii="宋体" w:hAnsi="宋体"/>
          <w:bCs/>
          <w:sz w:val="18"/>
          <w:szCs w:val="18"/>
        </w:rPr>
        <w:t>4.到期公告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5.开放日公告</w:t>
      </w:r>
    </w:p>
    <w:p>
      <w:pPr>
        <w:spacing w:line="360" w:lineRule="auto"/>
        <w:ind w:firstLine="360" w:firstLineChars="200"/>
        <w:rPr>
          <w:rFonts w:ascii="宋体" w:hAnsi="宋体"/>
          <w:bCs/>
          <w:sz w:val="18"/>
          <w:szCs w:val="18"/>
        </w:rPr>
      </w:pPr>
      <w:r>
        <w:rPr>
          <w:rFonts w:hint="eastAsia" w:ascii="宋体" w:hAnsi="宋体"/>
          <w:sz w:val="18"/>
          <w:szCs w:val="18"/>
        </w:rPr>
        <w:t>产品管理人</w:t>
      </w:r>
      <w:r>
        <w:rPr>
          <w:rFonts w:hint="eastAsia" w:ascii="宋体" w:hAnsi="宋体"/>
          <w:bCs/>
          <w:sz w:val="18"/>
          <w:szCs w:val="18"/>
        </w:rPr>
        <w:t>在申购日</w:t>
      </w:r>
      <w:r>
        <w:rPr>
          <w:rFonts w:ascii="宋体" w:hAnsi="宋体"/>
          <w:bCs/>
          <w:sz w:val="18"/>
          <w:szCs w:val="18"/>
        </w:rPr>
        <w:t>/赎回日结束后2个工作日内披露开放日公告，公告内容包括申购日/赎回日</w:t>
      </w:r>
      <w:r>
        <w:rPr>
          <w:rFonts w:hint="eastAsia" w:ascii="宋体" w:hAnsi="宋体"/>
          <w:bCs/>
          <w:sz w:val="18"/>
          <w:szCs w:val="18"/>
        </w:rPr>
        <w:t>的产品份额净值、产品份额累计净值等。</w:t>
      </w:r>
    </w:p>
    <w:p>
      <w:pPr>
        <w:spacing w:line="360" w:lineRule="auto"/>
        <w:ind w:firstLine="360" w:firstLineChars="200"/>
        <w:rPr>
          <w:rFonts w:ascii="宋体" w:hAnsi="宋体"/>
          <w:bCs/>
          <w:sz w:val="18"/>
          <w:szCs w:val="18"/>
        </w:rPr>
      </w:pPr>
      <w:r>
        <w:rPr>
          <w:rFonts w:hint="eastAsia" w:ascii="宋体" w:hAnsi="宋体"/>
          <w:bCs/>
          <w:sz w:val="18"/>
          <w:szCs w:val="18"/>
        </w:rPr>
        <w:t>6</w:t>
      </w:r>
      <w:r>
        <w:rPr>
          <w:rFonts w:ascii="宋体" w:hAnsi="宋体"/>
          <w:bCs/>
          <w:sz w:val="18"/>
          <w:szCs w:val="18"/>
        </w:rPr>
        <w:t>.估值日公告</w:t>
      </w:r>
    </w:p>
    <w:p>
      <w:pPr>
        <w:spacing w:line="360" w:lineRule="auto"/>
        <w:ind w:firstLine="360" w:firstLineChars="20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r>
        <w:rPr>
          <w:rFonts w:ascii="宋体" w:hAnsi="宋体"/>
          <w:bCs/>
          <w:sz w:val="18"/>
          <w:szCs w:val="18"/>
        </w:rPr>
        <w:t xml:space="preserve"> </w:t>
      </w:r>
    </w:p>
    <w:p>
      <w:pPr>
        <w:spacing w:line="360" w:lineRule="auto"/>
        <w:ind w:firstLine="360" w:firstLineChars="200"/>
        <w:rPr>
          <w:rFonts w:ascii="宋体" w:hAnsi="宋体"/>
          <w:bCs/>
          <w:sz w:val="18"/>
          <w:szCs w:val="18"/>
        </w:rPr>
      </w:pPr>
      <w:r>
        <w:rPr>
          <w:rFonts w:ascii="宋体" w:hAnsi="宋体"/>
          <w:bCs/>
          <w:sz w:val="18"/>
          <w:szCs w:val="18"/>
        </w:rPr>
        <w:t>7.临时公告</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特别提示：在一个完整投资周期结束前，管理人将同步更新产品说明书中的业绩比较基准（如有）、业绩报酬计提基准（如有），以明确列示下一个完整投资周期对应的业绩比较基准（如有）、业绩报酬计提基准（如有）。</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w:t>
      </w:r>
      <w:r>
        <w:rPr>
          <w:rFonts w:ascii="宋体" w:hAnsi="宋体"/>
          <w:bCs/>
          <w:sz w:val="18"/>
          <w:szCs w:val="18"/>
        </w:rPr>
        <w:t>/申购</w:t>
      </w:r>
      <w:r>
        <w:rPr>
          <w:rFonts w:hint="eastAsia" w:ascii="宋体" w:hAnsi="宋体"/>
          <w:bCs/>
          <w:sz w:val="18"/>
          <w:szCs w:val="18"/>
        </w:rPr>
        <w:t>申请、暂停接受</w:t>
      </w:r>
      <w:r>
        <w:rPr>
          <w:rFonts w:ascii="宋体" w:hAnsi="宋体"/>
          <w:bCs/>
          <w:sz w:val="18"/>
          <w:szCs w:val="18"/>
        </w:rPr>
        <w:t>投资者</w:t>
      </w:r>
      <w:r>
        <w:rPr>
          <w:rFonts w:hint="eastAsia" w:ascii="宋体" w:hAnsi="宋体"/>
          <w:bCs/>
          <w:sz w:val="18"/>
          <w:szCs w:val="18"/>
        </w:rPr>
        <w:t>赎回申请、延缓支付赎回款项、</w:t>
      </w:r>
      <w:r>
        <w:rPr>
          <w:rFonts w:ascii="宋体" w:hAnsi="宋体"/>
          <w:bCs/>
          <w:sz w:val="18"/>
          <w:szCs w:val="18"/>
        </w:rPr>
        <w:t>巨额赎回</w:t>
      </w:r>
      <w:r>
        <w:rPr>
          <w:rFonts w:hint="eastAsia" w:ascii="宋体" w:hAnsi="宋体"/>
          <w:bCs/>
          <w:sz w:val="18"/>
          <w:szCs w:val="18"/>
        </w:rPr>
        <w:t>、暂停理财产品估值、采用摆动定价</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在发生涉及产品认购、申购或赎回事项调整或潜在影响投资者赎回等事项时，管理人将发布临时公告。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Pr>
        <w:spacing w:line="360" w:lineRule="auto"/>
        <w:rPr>
          <w:bCs/>
          <w:sz w:val="24"/>
        </w:rPr>
      </w:pPr>
      <w:r>
        <w:rPr>
          <w:sz w:val="24"/>
        </w:rPr>
        <w:br w:type="page"/>
      </w:r>
    </w:p>
    <w:p>
      <w:pPr>
        <w:pStyle w:val="2"/>
        <w:spacing w:before="0" w:after="0" w:line="360" w:lineRule="auto"/>
        <w:jc w:val="center"/>
        <w:rPr>
          <w:rFonts w:ascii="Times New Roman"/>
          <w:b w:val="0"/>
          <w:sz w:val="30"/>
        </w:rPr>
      </w:pPr>
      <w:bookmarkStart w:id="233" w:name="_Toc116984895"/>
      <w:bookmarkStart w:id="234" w:name="_Toc79154675"/>
      <w:bookmarkStart w:id="235" w:name="_Toc92377141"/>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bookmarkEnd w:id="233"/>
      <w:bookmarkEnd w:id="234"/>
      <w:bookmarkEnd w:id="23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sz w:val="18"/>
          <w:szCs w:val="18"/>
        </w:rPr>
      </w:pPr>
      <w:r>
        <w:rPr>
          <w:rFonts w:hint="eastAsia" w:ascii="宋体" w:hAnsi="宋体"/>
          <w:sz w:val="18"/>
          <w:szCs w:val="18"/>
        </w:rPr>
        <w:t>2）投资非标准化债权类资产的风险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spacing w:line="360" w:lineRule="auto"/>
        <w:ind w:firstLine="360" w:firstLineChars="200"/>
        <w:rPr>
          <w:rFonts w:ascii="宋体" w:hAnsi="宋体"/>
          <w:sz w:val="18"/>
          <w:szCs w:val="18"/>
        </w:rPr>
      </w:pPr>
      <w:r>
        <w:rPr>
          <w:rFonts w:hint="eastAsia" w:ascii="宋体" w:hAnsi="宋体"/>
          <w:sz w:val="18"/>
          <w:szCs w:val="18"/>
        </w:rPr>
        <w:t xml:space="preserve">（2）投资权益类资产的风险 </w:t>
      </w:r>
    </w:p>
    <w:p>
      <w:pPr>
        <w:spacing w:line="360" w:lineRule="auto"/>
        <w:ind w:firstLine="360" w:firstLineChars="200"/>
        <w:rPr>
          <w:rFonts w:ascii="宋体" w:hAnsi="宋体"/>
          <w:sz w:val="18"/>
          <w:szCs w:val="18"/>
        </w:rPr>
      </w:pPr>
      <w:r>
        <w:rPr>
          <w:rFonts w:hint="eastAsia" w:ascii="宋体" w:hAnsi="宋体"/>
          <w:sz w:val="18"/>
          <w:szCs w:val="18"/>
        </w:rPr>
        <w:t>1）投资股票类资产的风险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股票类资产时可能面临以下风险：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pPr>
        <w:spacing w:line="360" w:lineRule="auto"/>
        <w:ind w:firstLine="360" w:firstLineChars="200"/>
        <w:rPr>
          <w:rFonts w:ascii="宋体" w:hAnsi="宋体"/>
          <w:sz w:val="18"/>
          <w:szCs w:val="18"/>
        </w:rPr>
      </w:pPr>
      <w:r>
        <w:rPr>
          <w:rFonts w:hint="eastAsia" w:ascii="宋体" w:hAnsi="宋体"/>
          <w:sz w:val="18"/>
          <w:szCs w:val="18"/>
        </w:rPr>
        <w:t xml:space="preserve">（3）投资商品和金融衍生品类资产的风险 </w:t>
      </w:r>
    </w:p>
    <w:p>
      <w:pPr>
        <w:spacing w:line="360" w:lineRule="auto"/>
        <w:ind w:firstLine="360" w:firstLineChars="200"/>
        <w:rPr>
          <w:rFonts w:ascii="宋体" w:hAnsi="宋体"/>
          <w:sz w:val="18"/>
          <w:szCs w:val="18"/>
        </w:rPr>
      </w:pPr>
      <w:r>
        <w:rPr>
          <w:rFonts w:hint="eastAsia" w:ascii="宋体" w:hAnsi="宋体"/>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pStyle w:val="15"/>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pStyle w:val="17"/>
        <w:spacing w:line="360" w:lineRule="auto"/>
        <w:rPr>
          <w:rFonts w:hAnsi="宋体"/>
          <w:sz w:val="18"/>
          <w:szCs w:val="18"/>
        </w:rPr>
      </w:pPr>
    </w:p>
    <w:p>
      <w:pPr>
        <w:spacing w:line="360" w:lineRule="auto"/>
        <w:jc w:val="left"/>
        <w:rPr>
          <w:rFonts w:hint="eastAsia" w:ascii="宋体" w:hAnsi="宋体"/>
          <w:b/>
          <w:sz w:val="18"/>
          <w:szCs w:val="18"/>
        </w:rPr>
        <w:sectPr>
          <w:headerReference r:id="rId5" w:type="default"/>
          <w:footerReference r:id="rId6" w:type="default"/>
          <w:pgSz w:w="11906" w:h="16838"/>
          <w:pgMar w:top="1276" w:right="1800" w:bottom="1418" w:left="1800" w:header="567" w:footer="850" w:gutter="0"/>
          <w:pgNumType w:start="1"/>
          <w:cols w:space="425" w:num="1"/>
          <w:docGrid w:type="lines" w:linePitch="312" w:charSpace="0"/>
        </w:sectPr>
      </w:pPr>
    </w:p>
    <w:p>
      <w:pPr>
        <w:widowControl/>
        <w:spacing w:before="156"/>
        <w:jc w:val="center"/>
        <w:rPr>
          <w:rFonts w:ascii="黑体" w:hAnsi="黑体" w:eastAsia="黑体"/>
          <w:b/>
          <w:sz w:val="28"/>
          <w:szCs w:val="28"/>
        </w:rPr>
      </w:pPr>
      <w:r>
        <w:rPr>
          <w:rFonts w:hint="eastAsia" w:ascii="黑体" w:hAnsi="黑体" w:eastAsia="黑体"/>
          <w:b/>
          <w:sz w:val="28"/>
          <w:szCs w:val="28"/>
        </w:rPr>
        <w:t>兴银理财【】理财产品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9"/>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5"/>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w:t>
            </w:r>
            <w:r>
              <w:rPr>
                <w:rFonts w:hint="eastAsia" w:ascii="宋体" w:hAnsi="宋体"/>
                <w:sz w:val="18"/>
                <w:szCs w:val="18"/>
              </w:rPr>
              <w:t>福建省农村信用社联合社</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75" w:hRule="atLeas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tcBorders>
              <w:bottom w:val="single" w:color="auto" w:sz="12" w:space="0"/>
            </w:tcBorders>
            <w:shd w:val="solid" w:color="FFFFFF" w:fill="FFFFFF"/>
            <w:vAlign w:val="center"/>
          </w:tcPr>
          <w:p>
            <w:pPr>
              <w:pStyle w:val="17"/>
              <w:jc w:val="both"/>
            </w:pP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402" w:hRule="atLeast"/>
          <w:jc w:val="center"/>
        </w:trPr>
        <w:tc>
          <w:tcPr>
            <w:tcW w:w="817" w:type="dxa"/>
            <w:shd w:val="solid" w:color="FFFFFF" w:fill="FFFFFF"/>
            <w:vAlign w:val="center"/>
          </w:tcPr>
          <w:p>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pPr>
        <w:widowControl/>
        <w:spacing w:line="360" w:lineRule="auto"/>
        <w:jc w:val="left"/>
        <w:rPr>
          <w:rFonts w:ascii="黑体" w:hAnsi="黑体" w:eastAsia="黑体" w:cs="仿宋_GB2312"/>
          <w:kern w:val="0"/>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黑体" w:hAnsi="黑体" w:eastAsia="黑体" w:cs="仿宋_GB2312"/>
          <w:kern w:val="0"/>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hint="eastAsia"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销售机构将理财产品分为【5】个风险等级：【R1（低风险）、R2（中低风险）、R3（中等风险）、R4（中高风险）、R5（高风险）】；根据投资者在乙方评估的风险承受能力，乙方将投资者风险承受能力分为【5】个等级：【保守型、谨慎型、稳健型、进取型、激进型】。</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7"/>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参照本条第（1）款非机构投资者要求执行；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其他：</w:t>
      </w:r>
      <w:r>
        <w:rPr>
          <w:rFonts w:hint="eastAsia" w:asciiTheme="majorEastAsia" w:hAnsiTheme="majorEastAsia" w:eastAsiaTheme="majorEastAsia"/>
          <w:sz w:val="18"/>
          <w:szCs w:val="18"/>
          <w:u w:val="single"/>
        </w:rPr>
        <w:t xml:space="preserve">                               。</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1)甲方已经收到所购买乙方销售的理财产品的《投资协议书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10"/>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hint="eastAsia" w:ascii="宋体" w:hAnsi="宋体"/>
          <w:b/>
          <w:sz w:val="18"/>
          <w:szCs w:val="18"/>
        </w:rPr>
        <w:sectPr>
          <w:headerReference r:id="rId7" w:type="default"/>
          <w:footerReference r:id="rId8" w:type="default"/>
          <w:pgSz w:w="11906" w:h="16838"/>
          <w:pgMar w:top="1440" w:right="1800" w:bottom="1440" w:left="1800" w:header="567" w:footer="964" w:gutter="0"/>
          <w:cols w:space="425" w:num="1"/>
          <w:docGrid w:type="lines" w:linePitch="312" w:charSpace="0"/>
        </w:sect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兴银理财【天天万利宝稳利净值型】</w:t>
      </w:r>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cs="仿宋_GB2312"/>
          <w:kern w:val="0"/>
          <w:sz w:val="18"/>
          <w:szCs w:val="18"/>
        </w:rPr>
        <w:t>【兴业银行天天万利宝稳利1号净值型理财产品</w:t>
      </w:r>
      <w:r>
        <w:rPr>
          <w:rFonts w:hint="eastAsia" w:ascii="宋体" w:hAnsi="宋体" w:cs="仿宋_GB2312"/>
          <w:kern w:val="0"/>
          <w:sz w:val="18"/>
          <w:szCs w:val="18"/>
          <w:lang w:val="en-US" w:eastAsia="zh-CN"/>
        </w:rPr>
        <w:t>L</w:t>
      </w:r>
      <w:r>
        <w:rPr>
          <w:rFonts w:hint="eastAsia" w:ascii="宋体" w:hAnsi="宋体" w:cs="仿宋_GB2312"/>
          <w:kern w:val="0"/>
          <w:sz w:val="18"/>
          <w:szCs w:val="18"/>
        </w:rPr>
        <w:t>款】</w:t>
      </w:r>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r>
        <w:rPr>
          <w:rFonts w:hint="eastAsia" w:asciiTheme="majorEastAsia" w:hAnsiTheme="majorEastAsia" w:eastAsiaTheme="majorEastAsia"/>
          <w:bCs/>
          <w:kern w:val="0"/>
          <w:sz w:val="18"/>
          <w:szCs w:val="18"/>
        </w:rPr>
        <w:t>【</w:t>
      </w:r>
      <w:r>
        <w:rPr>
          <w:rFonts w:hint="eastAsia" w:ascii="宋体" w:hAnsi="宋体" w:cs="仿宋_GB2312"/>
          <w:kern w:val="0"/>
          <w:sz w:val="18"/>
          <w:szCs w:val="18"/>
        </w:rPr>
        <w:t>稳利恒盈</w:t>
      </w:r>
      <w:r>
        <w:rPr>
          <w:rFonts w:hint="eastAsia" w:ascii="宋体" w:hAnsi="宋体" w:cs="仿宋_GB2312"/>
          <w:kern w:val="0"/>
          <w:sz w:val="18"/>
          <w:szCs w:val="18"/>
          <w:lang w:val="en-US" w:eastAsia="zh-CN"/>
        </w:rPr>
        <w:t>L</w:t>
      </w:r>
      <w:r>
        <w:rPr>
          <w:rFonts w:hint="eastAsia" w:ascii="宋体" w:hAnsi="宋体" w:cs="仿宋_GB2312"/>
          <w:kern w:val="0"/>
          <w:sz w:val="18"/>
          <w:szCs w:val="18"/>
        </w:rPr>
        <w:t xml:space="preserve"> 12个月</w:t>
      </w:r>
      <w:r>
        <w:rPr>
          <w:rFonts w:hint="eastAsia" w:asciiTheme="majorEastAsia" w:hAnsiTheme="majorEastAsia" w:eastAsiaTheme="majorEastAsia"/>
          <w:bCs/>
          <w:kern w:val="0"/>
          <w:sz w:val="18"/>
          <w:szCs w:val="18"/>
        </w:rPr>
        <w:t>】</w:t>
      </w:r>
      <w:r>
        <w:rPr>
          <w:rFonts w:hint="eastAsia" w:ascii="宋体" w:hAnsi="宋体" w:cs="仿宋_GB2312"/>
          <w:kern w:val="0"/>
          <w:sz w:val="18"/>
          <w:szCs w:val="18"/>
        </w:rPr>
        <w:t>（适用【A】类份额）</w:t>
      </w:r>
    </w:p>
    <w:p>
      <w:pPr>
        <w:ind w:firstLine="448" w:firstLineChars="249"/>
        <w:rPr>
          <w:rFonts w:ascii="宋体" w:hAnsi="宋体" w:cs="仿宋_GB2312"/>
          <w:kern w:val="0"/>
          <w:sz w:val="18"/>
          <w:szCs w:val="18"/>
        </w:rPr>
      </w:pPr>
      <w:r>
        <w:rPr>
          <w:rFonts w:hint="eastAsia" w:asciiTheme="majorEastAsia" w:hAnsiTheme="majorEastAsia" w:eastAsiaTheme="majorEastAsia"/>
          <w:bCs/>
          <w:kern w:val="0"/>
          <w:sz w:val="18"/>
          <w:szCs w:val="18"/>
        </w:rPr>
        <w:t>【</w:t>
      </w:r>
      <w:r>
        <w:rPr>
          <w:rFonts w:hint="eastAsia" w:ascii="宋体" w:hAnsi="宋体" w:cs="仿宋_GB2312"/>
          <w:kern w:val="0"/>
          <w:sz w:val="18"/>
          <w:szCs w:val="18"/>
        </w:rPr>
        <w:t>稳利恒盈</w:t>
      </w:r>
      <w:r>
        <w:rPr>
          <w:rFonts w:hint="eastAsia" w:ascii="宋体" w:hAnsi="宋体" w:cs="仿宋_GB2312"/>
          <w:kern w:val="0"/>
          <w:sz w:val="18"/>
          <w:szCs w:val="18"/>
          <w:lang w:val="en-US" w:eastAsia="zh-CN"/>
        </w:rPr>
        <w:t>L</w:t>
      </w:r>
      <w:r>
        <w:rPr>
          <w:rFonts w:hint="eastAsia" w:ascii="宋体" w:hAnsi="宋体" w:cs="仿宋_GB2312"/>
          <w:kern w:val="0"/>
          <w:sz w:val="18"/>
          <w:szCs w:val="18"/>
        </w:rPr>
        <w:t xml:space="preserve"> 12个月B</w:t>
      </w:r>
      <w:r>
        <w:rPr>
          <w:rFonts w:hint="eastAsia" w:asciiTheme="majorEastAsia" w:hAnsiTheme="majorEastAsia" w:eastAsiaTheme="majorEastAsia"/>
          <w:bCs/>
          <w:kern w:val="0"/>
          <w:sz w:val="18"/>
          <w:szCs w:val="18"/>
        </w:rPr>
        <w:t>】</w:t>
      </w:r>
      <w:r>
        <w:rPr>
          <w:rFonts w:hint="eastAsia" w:ascii="宋体" w:hAnsi="宋体" w:cs="仿宋_GB2312"/>
          <w:kern w:val="0"/>
          <w:sz w:val="18"/>
          <w:szCs w:val="18"/>
        </w:rPr>
        <w:t>（适用【B】类份额）</w:t>
      </w:r>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r>
        <w:rPr>
          <w:rFonts w:hint="eastAsia" w:ascii="宋体" w:hAnsi="宋体" w:eastAsia="宋体" w:cs="宋体"/>
          <w:i w:val="0"/>
          <w:iCs w:val="0"/>
          <w:caps w:val="0"/>
          <w:color w:val="333333"/>
          <w:spacing w:val="0"/>
          <w:sz w:val="18"/>
          <w:szCs w:val="18"/>
          <w:shd w:val="clear" w:fill="DFE8F6"/>
        </w:rPr>
        <w:t>Z7002020000016</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538" w:firstLineChars="299"/>
        <w:rPr>
          <w:rFonts w:ascii="宋体" w:hAnsi="宋体" w:cs="仿宋_GB2312"/>
          <w:kern w:val="0"/>
          <w:sz w:val="18"/>
          <w:szCs w:val="18"/>
        </w:rPr>
      </w:pPr>
      <w:r>
        <w:rPr>
          <w:rFonts w:hint="eastAsia" w:ascii="宋体" w:hAnsi="宋体" w:cs="仿宋_GB2312"/>
          <w:kern w:val="0"/>
          <w:sz w:val="18"/>
          <w:szCs w:val="18"/>
        </w:rPr>
        <w:t>【公募、开放式、固定收益类、非保本浮动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宋体" w:hAnsi="宋体" w:cs="仿宋_GB2312"/>
          <w:kern w:val="0"/>
          <w:sz w:val="18"/>
          <w:szCs w:val="18"/>
        </w:rPr>
      </w:pPr>
      <w:r>
        <w:rPr>
          <w:rFonts w:hint="eastAsia" w:ascii="宋体" w:hAnsi="宋体" w:cs="仿宋_GB2312"/>
          <w:kern w:val="0"/>
          <w:sz w:val="18"/>
          <w:szCs w:val="18"/>
        </w:rPr>
        <w:t>【无固定期限】</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本理财产品风险评级最终定义为【R2</w:t>
      </w:r>
      <w:r>
        <w:rPr>
          <w:rFonts w:ascii="宋体" w:hAnsi="宋体" w:cs="仿宋_GB2312"/>
          <w:kern w:val="0"/>
          <w:sz w:val="18"/>
          <w:szCs w:val="18"/>
        </w:rPr>
        <w:t>】</w:t>
      </w:r>
      <w:r>
        <w:rPr>
          <w:rFonts w:hint="eastAsia" w:ascii="宋体" w:hAnsi="宋体" w:cs="仿宋_GB2312"/>
          <w:kern w:val="0"/>
          <w:sz w:val="18"/>
          <w:szCs w:val="18"/>
        </w:rPr>
        <w:t>（产品管理人定义的产品风险评级为【R2</w:t>
      </w:r>
      <w:r>
        <w:rPr>
          <w:rFonts w:ascii="宋体" w:hAnsi="宋体" w:cs="仿宋_GB2312"/>
          <w:kern w:val="0"/>
          <w:sz w:val="18"/>
          <w:szCs w:val="18"/>
        </w:rPr>
        <w:t>】</w:t>
      </w:r>
      <w:r>
        <w:rPr>
          <w:rFonts w:hint="eastAsia" w:ascii="宋体" w:hAnsi="宋体" w:cs="仿宋_GB2312"/>
          <w:kern w:val="0"/>
          <w:sz w:val="18"/>
          <w:szCs w:val="18"/>
        </w:rPr>
        <w:t>；代理销售机构定义的产品风险评级为【R2】）。</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■个人投资者：【□ C1、■ C2、■ C3、■ C4、■ C5、■ C6】。。</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ind w:firstLine="360" w:firstLineChars="200"/>
        <w:rPr>
          <w:rFonts w:ascii="宋体" w:hAnsi="宋体"/>
          <w:sz w:val="18"/>
          <w:szCs w:val="18"/>
        </w:rPr>
      </w:pPr>
      <w:r>
        <w:rPr>
          <w:rFonts w:hint="eastAsia" w:ascii="宋体" w:hAnsi="宋体"/>
          <w:sz w:val="18"/>
          <w:szCs w:val="18"/>
        </w:rPr>
        <w:t>1.拟投资市场和资产的风险：</w:t>
      </w:r>
    </w:p>
    <w:p>
      <w:pPr>
        <w:ind w:firstLine="360" w:firstLineChars="200"/>
        <w:rPr>
          <w:rFonts w:ascii="宋体" w:hAnsi="宋体"/>
          <w:sz w:val="18"/>
          <w:szCs w:val="18"/>
        </w:rPr>
      </w:pPr>
      <w:r>
        <w:rPr>
          <w:rFonts w:hint="eastAsia" w:ascii="宋体" w:hAnsi="宋体"/>
          <w:sz w:val="18"/>
          <w:szCs w:val="18"/>
        </w:rPr>
        <w:t>（1）投资债权类资产的风险</w:t>
      </w:r>
    </w:p>
    <w:p>
      <w:pPr>
        <w:ind w:firstLine="360" w:firstLineChars="200"/>
        <w:rPr>
          <w:rFonts w:ascii="宋体" w:hAnsi="宋体"/>
          <w:sz w:val="18"/>
          <w:szCs w:val="18"/>
        </w:rPr>
      </w:pPr>
      <w:r>
        <w:rPr>
          <w:rFonts w:hint="eastAsia" w:ascii="宋体" w:hAnsi="宋体"/>
          <w:sz w:val="18"/>
          <w:szCs w:val="18"/>
        </w:rPr>
        <w:t>1）投资标准化债权类资产的风险</w:t>
      </w:r>
    </w:p>
    <w:p>
      <w:pPr>
        <w:ind w:firstLine="360" w:firstLineChars="200"/>
        <w:rPr>
          <w:rFonts w:ascii="宋体" w:hAnsi="宋体"/>
          <w:sz w:val="18"/>
          <w:szCs w:val="18"/>
        </w:rPr>
      </w:pPr>
      <w:r>
        <w:rPr>
          <w:rFonts w:hint="eastAsia" w:ascii="宋体" w:hAnsi="宋体"/>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ind w:firstLine="360" w:firstLineChars="200"/>
        <w:rPr>
          <w:rFonts w:ascii="宋体" w:hAnsi="宋体"/>
          <w:sz w:val="18"/>
          <w:szCs w:val="18"/>
        </w:rPr>
      </w:pPr>
      <w:r>
        <w:rPr>
          <w:rFonts w:hint="eastAsia" w:ascii="宋体" w:hAnsi="宋体"/>
          <w:sz w:val="18"/>
          <w:szCs w:val="18"/>
        </w:rPr>
        <w:t>2）投资非标准化债权类资产的风险</w:t>
      </w:r>
    </w:p>
    <w:p>
      <w:pPr>
        <w:ind w:firstLine="360" w:firstLineChars="200"/>
        <w:rPr>
          <w:rFonts w:ascii="宋体" w:hAnsi="宋体"/>
          <w:sz w:val="18"/>
          <w:szCs w:val="18"/>
        </w:rPr>
      </w:pPr>
      <w:r>
        <w:rPr>
          <w:rFonts w:hint="eastAsia" w:ascii="宋体" w:hAnsi="宋体"/>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ind w:firstLine="360" w:firstLineChars="200"/>
        <w:rPr>
          <w:rFonts w:ascii="宋体" w:hAnsi="宋体"/>
          <w:sz w:val="18"/>
          <w:szCs w:val="18"/>
        </w:rPr>
      </w:pPr>
      <w:r>
        <w:rPr>
          <w:rFonts w:hint="eastAsia" w:ascii="宋体" w:hAnsi="宋体"/>
          <w:sz w:val="18"/>
          <w:szCs w:val="18"/>
        </w:rPr>
        <w:t xml:space="preserve">（2）投资权益类资产的风险 </w:t>
      </w:r>
    </w:p>
    <w:p>
      <w:pPr>
        <w:ind w:firstLine="360" w:firstLineChars="200"/>
        <w:rPr>
          <w:rFonts w:ascii="宋体" w:hAnsi="宋体"/>
          <w:sz w:val="18"/>
          <w:szCs w:val="18"/>
        </w:rPr>
      </w:pPr>
      <w:r>
        <w:rPr>
          <w:rFonts w:hint="eastAsia" w:ascii="宋体" w:hAnsi="宋体"/>
          <w:sz w:val="18"/>
          <w:szCs w:val="18"/>
        </w:rPr>
        <w:t>1）投资股票类资产的风险</w:t>
      </w:r>
    </w:p>
    <w:p>
      <w:pPr>
        <w:ind w:firstLine="360" w:firstLineChars="200"/>
        <w:rPr>
          <w:rFonts w:ascii="宋体" w:hAnsi="宋体"/>
          <w:sz w:val="18"/>
          <w:szCs w:val="18"/>
        </w:rPr>
      </w:pPr>
      <w:r>
        <w:rPr>
          <w:rFonts w:hint="eastAsia" w:ascii="宋体" w:hAnsi="宋体"/>
          <w:sz w:val="18"/>
          <w:szCs w:val="18"/>
        </w:rPr>
        <w:t>本产品投资股票类资产时可能面临以下风险：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pPr>
        <w:ind w:firstLine="360" w:firstLineChars="200"/>
        <w:rPr>
          <w:rFonts w:ascii="宋体" w:hAnsi="宋体"/>
          <w:sz w:val="18"/>
          <w:szCs w:val="18"/>
        </w:rPr>
      </w:pPr>
      <w:r>
        <w:rPr>
          <w:rFonts w:hint="eastAsia" w:ascii="宋体" w:hAnsi="宋体"/>
          <w:sz w:val="18"/>
          <w:szCs w:val="18"/>
        </w:rPr>
        <w:t xml:space="preserve">（3）投资商品和金融衍生品类资产的风险 </w:t>
      </w:r>
    </w:p>
    <w:p>
      <w:pPr>
        <w:ind w:firstLine="360" w:firstLineChars="200"/>
        <w:rPr>
          <w:rFonts w:ascii="宋体" w:hAnsi="宋体"/>
          <w:sz w:val="18"/>
          <w:szCs w:val="18"/>
        </w:rPr>
      </w:pPr>
      <w:r>
        <w:rPr>
          <w:rFonts w:hint="eastAsia" w:ascii="宋体" w:hAnsi="宋体"/>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pStyle w:val="15"/>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pStyle w:val="15"/>
        <w:ind w:firstLine="426" w:firstLineChars="0"/>
        <w:rPr>
          <w:rFonts w:ascii="宋体" w:hAnsi="宋体"/>
          <w:b/>
          <w:bCs/>
          <w:sz w:val="18"/>
          <w:szCs w:val="18"/>
        </w:rPr>
      </w:pPr>
      <w:r>
        <w:rPr>
          <w:rFonts w:hint="eastAsia" w:ascii="宋体" w:hAnsi="宋体"/>
          <w:b/>
          <w:bCs/>
          <w:sz w:val="18"/>
          <w:szCs w:val="18"/>
        </w:rPr>
        <w:t xml:space="preserve">（二）投资者投资本产品可能面临的一般风险主要包括（但不限于）： </w:t>
      </w:r>
    </w:p>
    <w:p>
      <w:pPr>
        <w:pStyle w:val="15"/>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5"/>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5"/>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5"/>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5"/>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5"/>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5"/>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5"/>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5"/>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5"/>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5"/>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5"/>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5"/>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5"/>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5"/>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5"/>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5"/>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5"/>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5"/>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5"/>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5"/>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5"/>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5"/>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5"/>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5"/>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5"/>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5"/>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5"/>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5"/>
        <w:ind w:firstLineChars="0"/>
        <w:rPr>
          <w:rFonts w:ascii="宋体" w:hAnsi="宋体"/>
          <w:b/>
          <w:bCs/>
          <w:sz w:val="18"/>
          <w:szCs w:val="18"/>
        </w:rPr>
      </w:pPr>
      <w:r>
        <w:rPr>
          <w:rFonts w:hint="eastAsia" w:ascii="宋体" w:hAnsi="宋体"/>
          <w:b/>
          <w:bCs/>
          <w:sz w:val="18"/>
          <w:szCs w:val="18"/>
        </w:rPr>
        <w:t>17.关联交易风险</w:t>
      </w:r>
    </w:p>
    <w:p>
      <w:pPr>
        <w:pStyle w:val="15"/>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销售机构（</w:t>
      </w:r>
      <w:r>
        <w:rPr>
          <w:rFonts w:hint="eastAsia" w:ascii="宋体" w:hAnsi="宋体"/>
          <w:sz w:val="18"/>
          <w:szCs w:val="18"/>
          <w:lang w:val="en-US" w:eastAsia="zh-CN"/>
        </w:rPr>
        <w:t>福建省农村信用社联合社</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10"/>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10"/>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10"/>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
      <w:pPr>
        <w:spacing w:line="360" w:lineRule="auto"/>
        <w:jc w:val="left"/>
        <w:rPr>
          <w:rFonts w:hint="eastAsia" w:ascii="宋体" w:hAnsi="宋体"/>
          <w:b/>
          <w:sz w:val="18"/>
          <w:szCs w:val="18"/>
        </w:rPr>
        <w:sectPr>
          <w:headerReference r:id="rId9" w:type="default"/>
          <w:footerReference r:id="rId10" w:type="default"/>
          <w:pgSz w:w="11906" w:h="16838"/>
          <w:pgMar w:top="1440" w:right="1800" w:bottom="1440" w:left="1800" w:header="567" w:footer="964" w:gutter="0"/>
          <w:cols w:space="425" w:num="1"/>
          <w:docGrid w:type="lines" w:linePitch="312" w:charSpace="0"/>
        </w:sectPr>
      </w:pPr>
    </w:p>
    <w:p>
      <w:pPr>
        <w:adjustRightInd w:val="0"/>
        <w:spacing w:line="276" w:lineRule="auto"/>
        <w:jc w:val="center"/>
        <w:rPr>
          <w:rStyle w:val="12"/>
          <w:rFonts w:ascii="黑体" w:hAnsi="黑体" w:eastAsia="黑体"/>
          <w:sz w:val="28"/>
          <w:szCs w:val="28"/>
        </w:rPr>
      </w:pPr>
      <w:r>
        <w:rPr>
          <w:rStyle w:val="12"/>
          <w:rFonts w:hint="eastAsia" w:ascii="黑体" w:hAnsi="黑体" w:eastAsia="黑体"/>
          <w:sz w:val="28"/>
          <w:szCs w:val="28"/>
        </w:rPr>
        <w:t>兴银理财【天天万利宝稳利净值型】理财产品</w:t>
      </w:r>
    </w:p>
    <w:p>
      <w:pPr>
        <w:adjustRightInd w:val="0"/>
        <w:spacing w:line="276" w:lineRule="auto"/>
        <w:jc w:val="center"/>
        <w:rPr>
          <w:rStyle w:val="12"/>
          <w:rFonts w:ascii="黑体" w:hAnsi="黑体" w:eastAsia="黑体"/>
          <w:sz w:val="28"/>
          <w:szCs w:val="28"/>
        </w:rPr>
      </w:pPr>
      <w:r>
        <w:rPr>
          <w:rStyle w:val="12"/>
          <w:rFonts w:hint="eastAsia" w:ascii="黑体" w:hAnsi="黑体" w:eastAsia="黑体"/>
          <w:sz w:val="28"/>
          <w:szCs w:val="28"/>
        </w:rPr>
        <w:t>投资者权益须知</w:t>
      </w:r>
    </w:p>
    <w:p>
      <w:pPr>
        <w:pStyle w:val="17"/>
        <w:jc w:val="center"/>
        <w:rPr>
          <w:rFonts w:hAnsi="宋体"/>
          <w:b/>
          <w:color w:val="auto"/>
          <w:sz w:val="28"/>
          <w:szCs w:val="28"/>
        </w:rPr>
      </w:pPr>
      <w:r>
        <w:rPr>
          <w:rFonts w:hint="eastAsia" w:hAnsi="宋体"/>
          <w:b/>
          <w:color w:val="auto"/>
          <w:sz w:val="28"/>
          <w:szCs w:val="28"/>
        </w:rPr>
        <w:t>（适用于个人投资者）</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w:t>
      </w:r>
      <w:r>
        <w:rPr>
          <w:rFonts w:hint="eastAsia" w:ascii="宋体" w:hAnsi="宋体"/>
          <w:sz w:val="18"/>
          <w:szCs w:val="18"/>
          <w:lang w:val="en-US" w:eastAsia="zh-CN"/>
        </w:rPr>
        <w:t xml:space="preserve">     </w:t>
      </w:r>
      <w:r>
        <w:rPr>
          <w:rFonts w:hint="eastAsia" w:ascii="宋体" w:hAnsi="宋体"/>
          <w:sz w:val="18"/>
          <w:szCs w:val="18"/>
        </w:rPr>
        <w:t>】以(□ 直销：产品管理人销售/</w:t>
      </w:r>
      <w:r>
        <w:rPr>
          <w:rFonts w:hint="eastAsia" w:asciiTheme="majorEastAsia" w:hAnsiTheme="majorEastAsia" w:eastAsiaTheme="majorEastAsia"/>
          <w:bCs/>
          <w:sz w:val="18"/>
          <w:szCs w:val="18"/>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0" w:firstLineChars="200"/>
        <w:rPr>
          <w:rFonts w:ascii="宋体" w:hAnsi="宋体"/>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ind w:firstLine="361" w:firstLineChars="200"/>
        <w:rPr>
          <w:rFonts w:ascii="宋体" w:hAnsi="宋体"/>
          <w:b/>
          <w:sz w:val="18"/>
          <w:szCs w:val="18"/>
        </w:rPr>
      </w:pPr>
      <w:r>
        <w:rPr>
          <w:rFonts w:hint="eastAsia" w:ascii="宋体" w:hAnsi="宋体"/>
          <w:b/>
          <w:sz w:val="18"/>
          <w:szCs w:val="18"/>
        </w:rPr>
        <w:t>二、投资者风险承受能力与产品风险评级</w:t>
      </w:r>
    </w:p>
    <w:p>
      <w:pPr>
        <w:ind w:firstLine="361" w:firstLineChars="200"/>
        <w:rPr>
          <w:rFonts w:ascii="宋体" w:hAnsi="宋体"/>
          <w:b/>
          <w:sz w:val="18"/>
          <w:szCs w:val="18"/>
        </w:rPr>
      </w:pPr>
      <w:r>
        <w:rPr>
          <w:rFonts w:hint="eastAsia" w:ascii="宋体" w:hAnsi="宋体"/>
          <w:b/>
          <w:sz w:val="18"/>
          <w:szCs w:val="18"/>
        </w:rPr>
        <w:t>（一）投资者风险承受能力评估说明</w:t>
      </w:r>
    </w:p>
    <w:p>
      <w:pPr>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 xml:space="preserve">2. </w:t>
      </w: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w:t>
      </w:r>
      <w:r>
        <w:rPr>
          <w:rFonts w:hint="eastAsia" w:ascii="宋体" w:hAnsi="宋体"/>
          <w:sz w:val="18"/>
          <w:szCs w:val="18"/>
          <w:lang w:val="en-US" w:eastAsia="zh-CN"/>
        </w:rPr>
        <w:t>机构</w:t>
      </w:r>
      <w:r>
        <w:rPr>
          <w:rFonts w:hint="eastAsia" w:ascii="宋体" w:hAnsi="宋体"/>
          <w:sz w:val="18"/>
          <w:szCs w:val="18"/>
        </w:rPr>
        <w:t>投资者由低至高分为【</w:t>
      </w:r>
      <w:r>
        <w:rPr>
          <w:rFonts w:hint="eastAsia" w:ascii="宋体" w:hAnsi="宋体"/>
          <w:sz w:val="18"/>
          <w:szCs w:val="18"/>
          <w:lang w:val="en-US" w:eastAsia="zh-CN"/>
        </w:rPr>
        <w:t>保守型、谨慎型、稳健型、进取型、激进型</w:t>
      </w:r>
      <w:r>
        <w:rPr>
          <w:rFonts w:hint="eastAsia" w:ascii="宋体" w:hAnsi="宋体"/>
          <w:sz w:val="18"/>
          <w:szCs w:val="18"/>
        </w:rPr>
        <w:t>】</w:t>
      </w:r>
      <w:r>
        <w:rPr>
          <w:rFonts w:ascii="宋体" w:hAnsi="宋体"/>
          <w:sz w:val="18"/>
          <w:szCs w:val="18"/>
        </w:rPr>
        <w:t>。其中，</w:t>
      </w:r>
      <w:r>
        <w:rPr>
          <w:rFonts w:hint="eastAsia" w:ascii="宋体" w:hAnsi="宋体"/>
          <w:sz w:val="18"/>
          <w:szCs w:val="18"/>
        </w:rPr>
        <w:t>【</w:t>
      </w:r>
      <w:r>
        <w:rPr>
          <w:rFonts w:hint="eastAsia" w:ascii="宋体" w:hAnsi="宋体"/>
          <w:sz w:val="18"/>
          <w:szCs w:val="18"/>
          <w:lang w:val="en-US" w:eastAsia="zh-CN"/>
        </w:rPr>
        <w:t>保守型</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hint="eastAsia" w:ascii="宋体" w:hAnsi="宋体"/>
          <w:sz w:val="18"/>
          <w:szCs w:val="18"/>
          <w:lang w:val="en-US" w:eastAsia="zh-CN"/>
        </w:rPr>
        <w:t>激进型</w:t>
      </w:r>
      <w:r>
        <w:rPr>
          <w:rFonts w:hint="eastAsia" w:ascii="宋体" w:hAnsi="宋体"/>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投资者风险承受能力风险评级类型与适合购买的理财产品的对应关系为：</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276"/>
        <w:gridCol w:w="1275"/>
        <w:gridCol w:w="241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风险调查问卷分值</w:t>
            </w:r>
          </w:p>
        </w:tc>
        <w:tc>
          <w:tcPr>
            <w:tcW w:w="1276" w:type="dxa"/>
            <w:vMerge w:val="restart"/>
            <w:tcBorders>
              <w:top w:val="single" w:color="auto" w:sz="4" w:space="0"/>
              <w:left w:val="single" w:color="auto" w:sz="4" w:space="0"/>
              <w:right w:val="single" w:color="auto" w:sz="4" w:space="0"/>
            </w:tcBorders>
            <w:vAlign w:val="center"/>
          </w:tcPr>
          <w:p>
            <w:pPr>
              <w:spacing w:line="0" w:lineRule="atLeas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投资者类型</w:t>
            </w:r>
          </w:p>
        </w:tc>
        <w:tc>
          <w:tcPr>
            <w:tcW w:w="1275"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投资者风险承受等级</w:t>
            </w:r>
          </w:p>
        </w:tc>
        <w:tc>
          <w:tcPr>
            <w:tcW w:w="2410"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风险特征描述</w:t>
            </w:r>
          </w:p>
        </w:tc>
        <w:tc>
          <w:tcPr>
            <w:tcW w:w="1418"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适合理财评级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法人单位</w:t>
            </w:r>
          </w:p>
        </w:tc>
        <w:tc>
          <w:tcPr>
            <w:tcW w:w="1276" w:type="dxa"/>
            <w:vMerge w:val="continue"/>
            <w:tcBorders>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p>
        </w:tc>
        <w:tc>
          <w:tcPr>
            <w:tcW w:w="1275"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2410"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1418"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81－100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86-100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激进型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属于可以承受高风险级别的投资者。适合投资于商品及金融衍生品类产品。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61－80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71-85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进取型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属于可以承担较高风险级别的投资者。适合投资于权益类产品。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36－60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46-70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稳健型</w:t>
            </w:r>
          </w:p>
        </w:tc>
        <w:tc>
          <w:tcPr>
            <w:tcW w:w="1275" w:type="dxa"/>
            <w:tcBorders>
              <w:top w:val="single" w:color="auto" w:sz="4" w:space="0"/>
              <w:left w:val="single" w:color="auto" w:sz="4" w:space="0"/>
              <w:bottom w:val="single" w:color="auto" w:sz="4" w:space="0"/>
              <w:right w:val="single" w:color="auto" w:sz="4" w:space="0"/>
            </w:tcBorders>
            <w:vAlign w:val="center"/>
          </w:tcPr>
          <w:p>
            <w:pPr>
              <w:pStyle w:val="17"/>
              <w:spacing w:line="540" w:lineRule="exact"/>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属于可以承担中等风险级别的投资者。适合投资于混合类产品。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16－35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31-45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谨慎型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属于可以承担较低风险级别的投资者。适合投资于含股权性质或债项评级低于AA+的固定收益类产品。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-9－15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小于等于30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保守型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属于可以承担低风险级别的投资者。适合投资于股权或债项评级高于AA+（含）以上的固定收益类产品。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低风险R1</w:t>
            </w: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sz w:val="18"/>
          <w:szCs w:val="18"/>
        </w:rPr>
      </w:pPr>
      <w:r>
        <w:rPr>
          <w:rFonts w:hint="eastAsia" w:ascii="宋体" w:hAnsi="宋体"/>
          <w:b/>
          <w:sz w:val="18"/>
          <w:szCs w:val="18"/>
        </w:rPr>
        <w:t>四、关于投诉与建议</w:t>
      </w:r>
    </w:p>
    <w:p>
      <w:pPr>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ind w:firstLine="360" w:firstLineChars="200"/>
        <w:rPr>
          <w:rFonts w:ascii="宋体" w:hAnsi="宋体"/>
          <w:sz w:val="18"/>
          <w:szCs w:val="18"/>
        </w:rPr>
      </w:pPr>
      <w:r>
        <w:rPr>
          <w:rFonts w:hint="eastAsia" w:ascii="宋体" w:hAnsi="宋体"/>
          <w:sz w:val="18"/>
          <w:szCs w:val="18"/>
        </w:rPr>
        <w:t>（二）联络方式</w:t>
      </w:r>
      <w:r>
        <w:rPr>
          <w:rFonts w:ascii="宋体" w:hAnsi="宋体"/>
          <w:sz w:val="18"/>
          <w:szCs w:val="18"/>
        </w:rPr>
        <w:t xml:space="preserve"> </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numPr>
          <w:ilvl w:val="0"/>
          <w:numId w:val="0"/>
        </w:numPr>
        <w:autoSpaceDE w:val="0"/>
        <w:autoSpaceDN w:val="0"/>
        <w:adjustRightInd w:val="0"/>
        <w:spacing w:line="280" w:lineRule="atLeast"/>
        <w:ind w:left="357" w:leftChars="170" w:firstLine="0" w:firstLineChars="0"/>
        <w:jc w:val="left"/>
        <w:rPr>
          <w:rFonts w:hint="eastAsia" w:ascii="宋体" w:hAnsi="宋体"/>
          <w:b/>
          <w:sz w:val="18"/>
          <w:szCs w:val="18"/>
        </w:rPr>
      </w:pPr>
      <w:r>
        <w:rPr>
          <w:rFonts w:hint="eastAsia" w:ascii="宋体" w:hAnsi="宋体"/>
          <w:sz w:val="18"/>
          <w:szCs w:val="18"/>
        </w:rPr>
        <w:t>3、销售机构：</w:t>
      </w:r>
      <w:r>
        <w:rPr>
          <w:rFonts w:hint="eastAsia" w:asciiTheme="minorEastAsia" w:hAnsiTheme="minorEastAsia" w:eastAsiaTheme="minorEastAsia" w:cstheme="minorEastAsia"/>
          <w:sz w:val="18"/>
          <w:szCs w:val="18"/>
        </w:rPr>
        <w:t>通过【福建省农村信用社联合社】（作为销售服务机构）购买本产品的，请联系【福建省农村信用社联合社】，【福建省农村信用社联合社】客户服务热线：【0591-96336】；【福建省农村信用社联合社】门户网站：【www.fjnx.com.cn】</w:t>
      </w:r>
      <w:r>
        <w:rPr>
          <w:rFonts w:hint="eastAsia" w:asciiTheme="minorEastAsia" w:hAnsiTheme="minorEastAsia" w:eastAsiaTheme="minorEastAsia" w:cstheme="minorEastAsia"/>
          <w:sz w:val="18"/>
          <w:szCs w:val="18"/>
          <w:lang w:eastAsia="zh-CN"/>
        </w:rPr>
        <w:t>。</w:t>
      </w:r>
      <w:bookmarkStart w:id="236" w:name="_GoBack"/>
      <w:bookmarkEnd w:id="236"/>
    </w:p>
    <w:sectPr>
      <w:headerReference r:id="rId11" w:type="default"/>
      <w:footerReference r:id="rId12"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17</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15647"/>
    </w:sdtPr>
    <w:sdtContent>
      <w:p>
        <w:pPr>
          <w:pStyle w:val="4"/>
          <w:jc w:val="center"/>
        </w:pPr>
        <w:r>
          <w:fldChar w:fldCharType="begin"/>
        </w:r>
        <w:r>
          <w:instrText xml:space="preserve"> PAGE   \* MERGEFORMAT </w:instrText>
        </w:r>
        <w:r>
          <w:fldChar w:fldCharType="separate"/>
        </w:r>
        <w:r>
          <w:rPr>
            <w:lang w:val="zh-CN"/>
          </w:rPr>
          <w:t>18</w:t>
        </w:r>
        <w:r>
          <w:fldChar w:fldCharType="end"/>
        </w:r>
      </w:p>
    </w:sdtContent>
  </w:sdt>
  <w:p>
    <w:pPr>
      <w:pStyle w:val="3"/>
      <w:jc w:val="both"/>
      <w:rPr>
        <w:rFonts w:ascii="黑体" w:hAnsi="黑体" w:eastAsia="黑体"/>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4442659"/>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492923"/>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202528"/>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b/>
      </w:rPr>
    </w:pPr>
    <w:r>
      <w:rPr>
        <w:rFonts w:hint="eastAsia"/>
        <w:b/>
      </w:rPr>
      <w:t>投资协议书</w:t>
    </w:r>
  </w:p>
  <w:p>
    <w:pPr>
      <w:pStyle w:val="5"/>
      <w:jc w:val="right"/>
      <w:rPr>
        <w:b/>
      </w:rPr>
    </w:pPr>
    <w:r>
      <w:rPr>
        <w:rFonts w:hint="eastAsia"/>
        <w:b/>
      </w:rPr>
      <w:t>注：本文件由兴银理财有限责任公司统一编制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cs="Times New Roman"/>
        <w:b/>
        <w:szCs w:val="20"/>
      </w:rPr>
    </w:pPr>
    <w:r>
      <w:rPr>
        <w:rFonts w:hint="eastAsia"/>
      </w:rPr>
      <w:t xml:space="preserve"> </w:t>
    </w:r>
    <w:r>
      <w:rPr>
        <w:rFonts w:hint="eastAsia" w:ascii="Times New Roman" w:hAnsi="Times New Roman" w:cs="Times New Roman"/>
        <w:b/>
        <w:szCs w:val="20"/>
      </w:rPr>
      <w:t>产品说明书</w:t>
    </w:r>
  </w:p>
  <w:p>
    <w:pPr>
      <w:pStyle w:val="5"/>
      <w:jc w:val="right"/>
      <w:rPr>
        <w:rFonts w:ascii="Times New Roman" w:hAnsi="Times New Roman" w:cs="Times New Roman"/>
        <w:b/>
        <w:szCs w:val="20"/>
      </w:rPr>
    </w:pPr>
    <w:r>
      <w:rPr>
        <w:rFonts w:hint="eastAsia" w:ascii="Times New Roman" w:hAnsi="Times New Roman" w:cs="Times New Roman"/>
        <w:b/>
        <w:szCs w:val="20"/>
      </w:rPr>
      <w:t>注：本文件由兴银理财有限责任公司统一编制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投资者权益须知</w:t>
    </w:r>
  </w:p>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C6410B"/>
    <w:rsid w:val="54021F9A"/>
    <w:rsid w:val="5FC527E1"/>
    <w:rsid w:val="736C7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annotation text"/>
    <w:basedOn w:val="1"/>
    <w:qFormat/>
    <w:uiPriority w:val="99"/>
    <w:pPr>
      <w:widowControl/>
      <w:jc w:val="left"/>
    </w:pPr>
    <w:rPr>
      <w:rFonts w:ascii="宋体" w:hAnsi="宋体"/>
      <w:kern w:val="0"/>
      <w:sz w:val="24"/>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rPr>
  </w:style>
  <w:style w:type="paragraph" w:styleId="6">
    <w:name w:val="toc 1"/>
    <w:basedOn w:val="1"/>
    <w:next w:val="1"/>
    <w:qFormat/>
    <w:uiPriority w:val="39"/>
    <w:pPr>
      <w:tabs>
        <w:tab w:val="right" w:leader="dot" w:pos="8296"/>
      </w:tabs>
      <w:spacing w:line="360" w:lineRule="auto"/>
    </w:pPr>
  </w:style>
  <w:style w:type="paragraph" w:styleId="7">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styleId="14">
    <w:name w:val="annotation reference"/>
    <w:qFormat/>
    <w:uiPriority w:val="99"/>
    <w:rPr>
      <w:sz w:val="21"/>
      <w:szCs w:val="21"/>
    </w:rPr>
  </w:style>
  <w:style w:type="paragraph" w:styleId="15">
    <w:name w:val="List Paragraph"/>
    <w:basedOn w:val="1"/>
    <w:qFormat/>
    <w:uiPriority w:val="0"/>
    <w:pPr>
      <w:ind w:firstLine="420" w:firstLineChars="200"/>
    </w:pPr>
  </w:style>
  <w:style w:type="paragraph" w:customStyle="1" w:styleId="1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2024-02-05T02:03:00Z</dcterms:created>
  <dc:creator>cib</dc:creator>
  <cp:lastModifiedBy>黄立杰</cp:lastModifiedBy>
  <dcterms:modified xsi:type="dcterms:W3CDTF">2024-02-20T02:37:28Z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