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宋体" w:hAnsi="宋体" w:cs="宋体"/>
          <w:b/>
          <w:bCs/>
          <w:sz w:val="44"/>
          <w:szCs w:val="44"/>
          <w:highlight w:val="none"/>
        </w:rPr>
      </w:pPr>
      <w:r>
        <w:rPr>
          <w:rFonts w:hint="eastAsia" w:ascii="宋体" w:hAnsi="宋体" w:cs="宋体"/>
          <w:b/>
          <w:bCs/>
          <w:sz w:val="44"/>
          <w:szCs w:val="44"/>
          <w:highlight w:val="none"/>
        </w:rPr>
        <w:t>杭银理财幸福99</w:t>
      </w:r>
      <w:r>
        <w:rPr>
          <w:rFonts w:hint="eastAsia" w:ascii="宋体" w:hAnsi="宋体" w:cs="宋体"/>
          <w:b/>
          <w:bCs/>
          <w:sz w:val="44"/>
          <w:szCs w:val="44"/>
          <w:highlight w:val="none"/>
          <w:lang w:eastAsia="zh-CN"/>
        </w:rPr>
        <w:t>天添益（安享优选）6期</w:t>
      </w:r>
      <w:r>
        <w:rPr>
          <w:rFonts w:hint="eastAsia" w:ascii="宋体" w:hAnsi="宋体" w:cs="宋体"/>
          <w:b/>
          <w:bCs/>
          <w:sz w:val="44"/>
          <w:szCs w:val="44"/>
          <w:highlight w:val="none"/>
        </w:rPr>
        <w:t>理财风险揭示书</w:t>
      </w:r>
    </w:p>
    <w:p>
      <w:pPr>
        <w:jc w:val="center"/>
        <w:outlineLvl w:val="1"/>
        <w:rPr>
          <w:rFonts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202201</w:t>
      </w:r>
      <w:r>
        <w:rPr>
          <w:rFonts w:hint="eastAsia" w:ascii="宋体" w:hAnsi="宋体" w:cs="宋体"/>
          <w:sz w:val="28"/>
          <w:szCs w:val="28"/>
          <w:highlight w:val="none"/>
        </w:rPr>
        <w:t>版）</w:t>
      </w:r>
    </w:p>
    <w:p>
      <w:pPr>
        <w:spacing w:line="360" w:lineRule="auto"/>
        <w:jc w:val="left"/>
        <w:rPr>
          <w:rFonts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val="en-US" w:eastAsia="zh-CN"/>
        </w:rPr>
        <w:t>理财计划</w:t>
      </w:r>
      <w:r>
        <w:rPr>
          <w:rFonts w:hint="eastAsia" w:ascii="宋体" w:hAnsi="宋体" w:cs="宋体"/>
          <w:bCs/>
          <w:sz w:val="24"/>
          <w:highlight w:val="none"/>
        </w:rPr>
        <w:t>风险揭示书、理财计划说明书、投资者权益须知、理财计划投资协议书和理财计划销售协议书，若通过电子渠道购买的，成功交易后视同为投资者与管理人已完成理财计划交易合同的签订），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购买力风险：如发生通货膨胀，则所投资产的收益可能会被通货膨胀抵消，从而对理财计划收益的实际购买力产生影响。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lang w:val="en-US" w:eastAsia="zh-CN"/>
        </w:rPr>
        <w:t>终止</w:t>
      </w:r>
      <w:r>
        <w:rPr>
          <w:rFonts w:hint="eastAsia" w:ascii="宋体" w:hAnsi="宋体" w:cs="宋体"/>
          <w:b/>
          <w:sz w:val="24"/>
          <w:highlight w:val="none"/>
        </w:rPr>
        <w:t>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w:t>
      </w:r>
      <w:r>
        <w:rPr>
          <w:rFonts w:hint="eastAsia" w:ascii="宋体" w:hAnsi="宋体" w:cs="宋体"/>
          <w:b/>
          <w:sz w:val="24"/>
          <w:highlight w:val="none"/>
          <w:lang w:val="en-US" w:eastAsia="zh-CN"/>
        </w:rPr>
        <w:t>兑付</w:t>
      </w:r>
      <w:r>
        <w:rPr>
          <w:rFonts w:hint="eastAsia" w:ascii="宋体" w:hAnsi="宋体" w:cs="宋体"/>
          <w:b/>
          <w:sz w:val="24"/>
          <w:highlight w:val="none"/>
        </w:rPr>
        <w:t>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信息传递风险：由于投资者未能及时主动了解理财计划信息，或由于通信故障、系统故障以及其他不可抗力等因素的影响，使得投资者无法及时了解理财计划信息，而导致投资者无法及时做出合理决策，导致理财计划本金或收益蒙受部分或全部损失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val="en-US"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建仓期风险：如理财计划设置建仓期，则在建仓期内理财计划的投资比例可能无法满足约定的投资比例限制，从而影响对理财计划收益产生影响。</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rPr>
        <w:t>代销风险：本理财计划通过代销渠道销售，投资者认/申购理财计划的资金由销售机构从投资者资金账户扣收；理财计划到期/赎回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jc w:val="left"/>
        <w:rPr>
          <w:rFonts w:ascii="宋体" w:hAnsi="宋体" w:cs="宋体"/>
          <w:b/>
          <w:sz w:val="24"/>
          <w:highlight w:val="none"/>
        </w:rPr>
      </w:pPr>
      <w:r>
        <w:rPr>
          <w:rFonts w:hint="eastAsia" w:ascii="宋体" w:hAnsi="宋体" w:cs="宋体"/>
          <w:b/>
          <w:sz w:val="24"/>
          <w:highlight w:val="none"/>
          <w:lang w:val="en-US" w:eastAsia="zh-CN"/>
        </w:rPr>
        <w:t>不同</w:t>
      </w:r>
      <w:r>
        <w:rPr>
          <w:rFonts w:hint="eastAsia" w:ascii="宋体" w:hAnsi="宋体" w:cs="宋体"/>
          <w:b/>
          <w:sz w:val="24"/>
          <w:highlight w:val="none"/>
          <w:lang w:val="en-US" w:eastAsia="zh-CN"/>
        </w:rPr>
        <w:t>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ind w:firstLine="482" w:firstLineChars="200"/>
        <w:jc w:val="left"/>
        <w:outlineLvl w:val="9"/>
        <w:rPr>
          <w:rFonts w:ascii="宋体" w:hAnsi="宋体" w:cs="宋体"/>
          <w:b/>
          <w:sz w:val="24"/>
          <w:highlight w:val="none"/>
        </w:rPr>
      </w:pPr>
      <w:r>
        <w:rPr>
          <w:rFonts w:ascii="宋体" w:hAnsi="宋体" w:cs="宋体"/>
          <w:b/>
          <w:sz w:val="24"/>
          <w:highlight w:val="none"/>
        </w:rPr>
        <w:t>关联关系风险：本理财</w:t>
      </w:r>
      <w:r>
        <w:rPr>
          <w:rFonts w:hint="eastAsia" w:ascii="宋体" w:hAnsi="宋体" w:cs="宋体"/>
          <w:b/>
          <w:sz w:val="24"/>
          <w:highlight w:val="none"/>
          <w:lang w:eastAsia="zh-CN"/>
        </w:rPr>
        <w:t>计划</w:t>
      </w:r>
      <w:r>
        <w:rPr>
          <w:rFonts w:ascii="宋体" w:hAnsi="宋体" w:cs="宋体"/>
          <w:b/>
          <w:sz w:val="24"/>
          <w:highlight w:val="none"/>
        </w:rPr>
        <w:t>销售机构</w:t>
      </w:r>
      <w:r>
        <w:rPr>
          <w:rFonts w:hint="eastAsia" w:ascii="宋体" w:hAnsi="宋体" w:cs="宋体"/>
          <w:b/>
          <w:sz w:val="24"/>
          <w:highlight w:val="none"/>
          <w:lang w:eastAsia="zh-CN"/>
        </w:rPr>
        <w:t>之一</w:t>
      </w:r>
      <w:r>
        <w:rPr>
          <w:rFonts w:ascii="宋体" w:hAnsi="宋体" w:cs="宋体"/>
          <w:b/>
          <w:sz w:val="24"/>
          <w:highlight w:val="none"/>
        </w:rPr>
        <w:t>为杭州银行股份有限公司，杭银理财系杭州银行全资子公司，双方存在关联关系。杭州银行作为本理财</w:t>
      </w:r>
      <w:r>
        <w:rPr>
          <w:rFonts w:hint="eastAsia" w:ascii="宋体" w:hAnsi="宋体" w:cs="宋体"/>
          <w:b/>
          <w:sz w:val="24"/>
          <w:highlight w:val="none"/>
          <w:lang w:eastAsia="zh-CN"/>
        </w:rPr>
        <w:t>计划</w:t>
      </w:r>
      <w:r>
        <w:rPr>
          <w:rFonts w:ascii="宋体" w:hAnsi="宋体" w:cs="宋体"/>
          <w:b/>
          <w:sz w:val="24"/>
          <w:highlight w:val="none"/>
        </w:rPr>
        <w:t>销售机构将按照法律法规、监管规定，执行不低于代理销售其他机构发行管理的理财产品的准入标准、风险评级、销售管理等要求；杭州银行作为销售机构不保证本</w:t>
      </w:r>
      <w:r>
        <w:rPr>
          <w:rFonts w:hint="eastAsia" w:ascii="宋体" w:hAnsi="宋体" w:cs="宋体"/>
          <w:b/>
          <w:sz w:val="24"/>
          <w:highlight w:val="none"/>
          <w:lang w:eastAsia="zh-CN"/>
        </w:rPr>
        <w:t>理财计划</w:t>
      </w:r>
      <w:r>
        <w:rPr>
          <w:rFonts w:ascii="宋体" w:hAnsi="宋体" w:cs="宋体"/>
          <w:b/>
          <w:sz w:val="24"/>
          <w:highlight w:val="none"/>
        </w:rPr>
        <w:t>收益，不承担</w:t>
      </w:r>
      <w:r>
        <w:rPr>
          <w:rFonts w:hint="eastAsia" w:ascii="宋体" w:hAnsi="宋体" w:cs="宋体"/>
          <w:b/>
          <w:sz w:val="24"/>
          <w:highlight w:val="none"/>
          <w:lang w:eastAsia="zh-CN"/>
        </w:rPr>
        <w:t>理财计划</w:t>
      </w:r>
      <w:r>
        <w:rPr>
          <w:rFonts w:ascii="宋体" w:hAnsi="宋体" w:cs="宋体"/>
          <w:b/>
          <w:sz w:val="24"/>
          <w:highlight w:val="none"/>
        </w:rPr>
        <w:t>的投资、兑付和风险管理责任。</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numPr>
          <w:ilvl w:val="0"/>
          <w:numId w:val="5"/>
        </w:numPr>
        <w:spacing w:line="360" w:lineRule="auto"/>
        <w:jc w:val="left"/>
        <w:rPr>
          <w:rFonts w:ascii="宋体" w:hAnsi="宋体" w:cs="宋体"/>
          <w:b/>
          <w:sz w:val="24"/>
          <w:highlight w:val="none"/>
        </w:rPr>
      </w:pPr>
      <w:r>
        <w:rPr>
          <w:rFonts w:hint="eastAsia" w:ascii="宋体" w:hAnsi="宋体" w:cs="宋体"/>
          <w:b/>
          <w:sz w:val="24"/>
          <w:highlight w:val="none"/>
          <w:lang w:val="en-US" w:eastAsia="zh-CN"/>
        </w:rPr>
        <w:t>国内上市优先股资产风险：本理财计划所投优先股资产，由于受到发行人的经营状况、信用评级下降或资产交易市场不活跃等因素的影响，存在因市场风险、信用风险、流动性风险等引起的资产价值波动，</w:t>
      </w:r>
      <w:r>
        <w:rPr>
          <w:rFonts w:hint="eastAsia" w:ascii="宋体" w:hAnsi="宋体" w:cs="宋体"/>
          <w:b/>
          <w:sz w:val="24"/>
          <w:highlight w:val="none"/>
        </w:rPr>
        <w:t>投资者的本金可能会出现损失。</w:t>
      </w:r>
    </w:p>
    <w:p>
      <w:pPr>
        <w:numPr>
          <w:ilvl w:val="0"/>
          <w:numId w:val="5"/>
        </w:numPr>
        <w:spacing w:line="360" w:lineRule="auto"/>
        <w:jc w:val="left"/>
        <w:rPr>
          <w:rFonts w:ascii="宋体" w:hAnsi="宋体" w:cs="宋体"/>
          <w:b/>
          <w:sz w:val="24"/>
          <w:highlight w:val="none"/>
        </w:rPr>
      </w:pPr>
      <w:r>
        <w:rPr>
          <w:rFonts w:hint="eastAsia" w:ascii="宋体" w:hAnsi="宋体" w:cs="宋体"/>
          <w:b/>
          <w:sz w:val="24"/>
          <w:highlight w:val="none"/>
        </w:rPr>
        <w:t>收益不达业绩比较基准风险：本理财计划每日开放，下一交易日确认，投资收益与投资者的申购、赎回时点密切相关，收益存在一定的波动性，投资者的本金可能会出现损失。</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rPr>
          <w:rFonts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rPr>
          <w:rFonts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rPr>
          <w:rFonts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240" w:firstLineChars="100"/>
        <w:jc w:val="left"/>
        <w:rPr>
          <w:rFonts w:ascii="宋体" w:hAnsi="宋体" w:cs="宋体"/>
          <w:bCs/>
          <w:sz w:val="24"/>
          <w:highlight w:val="none"/>
        </w:rPr>
      </w:pPr>
    </w:p>
    <w:p>
      <w:p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本理财计划为公募、开放式、〖固定收益类〗净值型理财计划，〖无固定期限〗，不保证本金与收益。根据本公司理财产品内部风险评级，该理财计划风险评级结果为〖R2〗,〖中低〗风险</w:t>
      </w:r>
      <w:r>
        <w:rPr>
          <w:rFonts w:hint="eastAsia" w:ascii="宋体" w:hAnsi="宋体" w:cs="宋体"/>
          <w:bCs/>
          <w:sz w:val="24"/>
          <w:highlight w:val="none"/>
        </w:rPr>
        <w:t>（本风险等级为我公司内部风险评级结果，仅供参考</w:t>
      </w:r>
      <w:r>
        <w:rPr>
          <w:rFonts w:hint="eastAsia" w:ascii="宋体" w:hAnsi="宋体" w:cs="宋体"/>
          <w:b/>
          <w:sz w:val="24"/>
          <w:highlight w:val="none"/>
        </w:rPr>
        <w:t>，</w:t>
      </w:r>
      <w:r>
        <w:rPr>
          <w:rFonts w:hint="eastAsia" w:ascii="宋体" w:hAnsi="宋体" w:cs="宋体"/>
          <w:bCs/>
          <w:sz w:val="24"/>
          <w:highlight w:val="none"/>
        </w:rPr>
        <w:t>理财计划通过代理销售机构渠道销售的，理财计划产品评级应当以代理销售机构最终披露的评级结果为准），</w:t>
      </w:r>
      <w:r>
        <w:rPr>
          <w:rFonts w:hint="eastAsia" w:ascii="宋体" w:hAnsi="宋体" w:cs="宋体"/>
          <w:b/>
          <w:sz w:val="24"/>
          <w:highlight w:val="none"/>
        </w:rPr>
        <w:t>总体风险〖程度较低，收益波动较小，虽然存在一些可能对产品本金和收益安全产生不利影响的因素，但产品本金出现损失的可能性很小〗。</w:t>
      </w:r>
    </w:p>
    <w:p>
      <w:pPr>
        <w:spacing w:line="360" w:lineRule="auto"/>
        <w:ind w:firstLine="482" w:firstLineChars="200"/>
        <w:jc w:val="left"/>
        <w:rPr>
          <w:rFonts w:ascii="宋体" w:hAnsi="宋体" w:cs="宋体"/>
          <w:bCs/>
          <w:sz w:val="24"/>
          <w:highlight w:val="none"/>
        </w:rPr>
      </w:pPr>
      <w:r>
        <w:rPr>
          <w:rFonts w:hint="eastAsia" w:ascii="宋体" w:hAnsi="宋体" w:cs="宋体"/>
          <w:b/>
          <w:sz w:val="24"/>
          <w:highlight w:val="none"/>
        </w:rPr>
        <w:t>本理财计划适合〖机构投资者〗以及〖稳健型、平衡型、成长型、进取型〗的个人投资者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sz w:val="24"/>
          <w:highlight w:val="none"/>
        </w:rPr>
        <w:t>个人投资者的风险承受能力评估以销售机构为准。</w:t>
      </w:r>
      <w:r>
        <w:rPr>
          <w:rFonts w:hint="eastAsia" w:ascii="宋体" w:hAnsi="宋体" w:cs="宋体"/>
          <w:bCs/>
          <w:sz w:val="24"/>
          <w:highlight w:val="none"/>
        </w:rPr>
        <w:t>本理财计划投资者适当性评估由销售机构负责，销售机构应确保个人投资者的风险承受能力不低于本理财计划风险评级。</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上述风险客观存在，敬请投资者予以充分关注！</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理财计划管理人有权按照国内外反洗钱相关适用的法律法规和监管要求，从销售机构获得相应必要的投资者身份信息并报送投资者身份信息及其持有理财产品信息。销售机构将在合法、合理且必要时向管理人提供投资者身份识别信息（投资者身份识别信息包括但不限于：投资者的姓名、性别、国籍、职业、住所地或者工作单位地址、常居地地址、联系方式、身份证明文件的种类、号码和有效期限、代理人信息、受益所有人信息），以及在合法、合理且必要时进一步提供身份证明文件的复印件和影印件以及其他必要信息。投资者签署后即表示同意并配合提供前述信息。</w:t>
      </w:r>
    </w:p>
    <w:p>
      <w:pPr>
        <w:spacing w:line="360" w:lineRule="auto"/>
        <w:ind w:firstLine="480" w:firstLineChars="200"/>
        <w:jc w:val="left"/>
        <w:rPr>
          <w:rFonts w:ascii="宋体" w:hAnsi="宋体" w:cs="宋体"/>
          <w:bCs/>
          <w:sz w:val="24"/>
          <w:highlight w:val="none"/>
        </w:rPr>
      </w:pPr>
    </w:p>
    <w:p>
      <w:pPr>
        <w:spacing w:line="360" w:lineRule="auto"/>
        <w:ind w:firstLine="480" w:firstLineChars="200"/>
        <w:jc w:val="lef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r>
        <w:rPr>
          <w:rFonts w:hint="eastAsia" w:ascii="宋体" w:hAnsi="宋体" w:cs="宋体"/>
          <w:bCs/>
          <w:sz w:val="24"/>
          <w:highlight w:val="none"/>
        </w:rPr>
        <w:t>风险提示方：杭银理财有限责任公司</w:t>
      </w: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rPr>
          <w:rFonts w:ascii="宋体" w:hAnsi="宋体" w:cs="宋体"/>
          <w:bCs/>
          <w:sz w:val="24"/>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4"/>
        <w:spacing w:line="360" w:lineRule="auto"/>
        <w:jc w:val="center"/>
        <w:rPr>
          <w:rFonts w:hint="eastAsia" w:ascii="宋体" w:hAnsi="宋体" w:cs="宋体"/>
          <w:b/>
          <w:color w:val="auto"/>
          <w:highlight w:val="none"/>
        </w:rPr>
      </w:pPr>
    </w:p>
    <w:p>
      <w:pPr>
        <w:pStyle w:val="14"/>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4"/>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4"/>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    如超过一年未进行风险承受能力评估或影响本人风险承受能力的因素发生变化，本人将于再次购买理财计划时及时完成风险承受能力评估。</w:t>
      </w:r>
    </w:p>
    <w:p>
      <w:pPr>
        <w:pStyle w:val="14"/>
        <w:spacing w:line="360" w:lineRule="auto"/>
        <w:jc w:val="both"/>
        <w:rPr>
          <w:rFonts w:hint="eastAsia" w:ascii="宋体" w:hAnsi="宋体" w:cs="宋体"/>
          <w:b/>
          <w:bCs/>
          <w:color w:val="auto"/>
          <w:highlight w:val="none"/>
          <w:u w:val="single"/>
        </w:rPr>
      </w:pPr>
      <w:r>
        <w:rPr>
          <w:rFonts w:hint="eastAsia" w:ascii="宋体" w:hAnsi="宋体" w:cs="宋体"/>
          <w:b/>
          <w:bCs/>
          <w:color w:val="auto"/>
          <w:highlight w:val="none"/>
          <w:u w:val="single"/>
        </w:rPr>
        <w:t xml:space="preserve">    声明：本人已经认真阅读本风险揭示书以及《理财计划产品说明书》《投资者权益须知》《理财计划投资协议书》《理财计划销售协议书》，已对其作全面、准确的理解，充分认识到投资本理财计划要求承担的风险，接受本风险揭示书及《理财计划产品说明书》《投资者权益须知》《理财计划投资协议书》《理财计划销售协议书》等本理财计划合同全部内容，自愿且有能力承担投资本理财计划的风险。</w:t>
      </w:r>
    </w:p>
    <w:p>
      <w:pPr>
        <w:pStyle w:val="14"/>
        <w:spacing w:line="360" w:lineRule="auto"/>
        <w:jc w:val="both"/>
        <w:rPr>
          <w:rFonts w:hint="eastAsia" w:ascii="宋体" w:hAnsi="宋体" w:cs="宋体"/>
          <w:b/>
          <w:bCs/>
          <w:color w:val="auto"/>
          <w:highlight w:val="none"/>
          <w:u w:val="single"/>
        </w:rPr>
      </w:pPr>
      <w:r>
        <w:rPr>
          <w:rFonts w:hint="eastAsia" w:ascii="宋体" w:hAnsi="宋体" w:cs="宋体"/>
          <w:b/>
          <w:bCs/>
          <w:color w:val="auto"/>
          <w:highlight w:val="none"/>
          <w:u w:val="single"/>
        </w:rPr>
        <w:t xml:space="preserve">    本人购买本理财计划的资金为合法自有资金，不存在使用借款、贷款等非自有资金的情形；且系为合法目的投资本理财计划，而非为洗钱等违法违规之目的，本人将配合管理人或销售机构开展客户身份识别及尽职调查、反恐怖融资以及非居民金融账户尽职调查等，及时、真实、准确提供身份信息及资金来源信息。</w:t>
      </w:r>
    </w:p>
    <w:p>
      <w:pPr>
        <w:pStyle w:val="14"/>
        <w:spacing w:line="360" w:lineRule="auto"/>
        <w:ind w:firstLine="480" w:firstLineChars="20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 xml:space="preserve">“本人已经阅读上述风险揭示，愿意承担投资风险。”） </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4"/>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4"/>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cs="宋体"/>
          <w:kern w:val="0"/>
          <w:sz w:val="24"/>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snapToGrid w:val="0"/>
        <w:rPr>
          <w:rFonts w:hint="eastAsia" w:ascii="宋体" w:hAnsi="宋体"/>
          <w:kern w:val="0"/>
          <w:szCs w:val="21"/>
          <w:highlight w:val="none"/>
          <w:u w:val="single"/>
        </w:rPr>
      </w:pPr>
    </w:p>
    <w:p>
      <w:pPr>
        <w:autoSpaceDE w:val="0"/>
        <w:autoSpaceDN w:val="0"/>
        <w:adjustRightInd w:val="0"/>
        <w:spacing w:line="420" w:lineRule="exact"/>
        <w:jc w:val="center"/>
        <w:rPr>
          <w:rFonts w:hint="eastAsia" w:ascii="宋体" w:hAnsi="宋体"/>
          <w:b/>
          <w:kern w:val="0"/>
          <w:szCs w:val="21"/>
          <w:highlight w:val="none"/>
        </w:rPr>
      </w:pPr>
    </w:p>
    <w:p>
      <w:pPr>
        <w:autoSpaceDE w:val="0"/>
        <w:autoSpaceDN w:val="0"/>
        <w:adjustRightInd w:val="0"/>
        <w:spacing w:line="360" w:lineRule="auto"/>
        <w:jc w:val="center"/>
        <w:rPr>
          <w:rFonts w:hint="eastAsia" w:ascii="宋体" w:hAnsi="宋体"/>
          <w:b/>
          <w:kern w:val="0"/>
          <w:szCs w:val="21"/>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rPr>
          <w:rFonts w:hint="eastAsia" w:ascii="宋体" w:hAnsi="宋体" w:cs="宋体"/>
          <w:b/>
          <w:color w:val="auto"/>
          <w:highlight w:val="none"/>
        </w:rPr>
      </w:pPr>
    </w:p>
    <w:p>
      <w:pPr>
        <w:pStyle w:val="14"/>
        <w:spacing w:line="360" w:lineRule="auto"/>
        <w:jc w:val="center"/>
        <w:outlineLvl w:val="2"/>
        <w:rPr>
          <w:rFonts w:hint="eastAsia" w:ascii="宋体" w:hAnsi="宋体" w:cs="宋体"/>
          <w:b/>
          <w:highlight w:val="none"/>
        </w:rPr>
      </w:pPr>
      <w:r>
        <w:rPr>
          <w:rFonts w:hint="eastAsia" w:ascii="宋体" w:hAnsi="宋体" w:cs="宋体"/>
          <w:b/>
          <w:color w:val="auto"/>
          <w:highlight w:val="none"/>
        </w:rPr>
        <w:t>投资者确认栏（机构投资者）</w:t>
      </w:r>
    </w:p>
    <w:p>
      <w:pPr>
        <w:pStyle w:val="14"/>
        <w:spacing w:line="360" w:lineRule="auto"/>
        <w:jc w:val="center"/>
        <w:rPr>
          <w:rFonts w:hint="eastAsia" w:ascii="宋体" w:hAnsi="宋体" w:cs="宋体"/>
          <w:b/>
          <w:highlight w:val="none"/>
        </w:rPr>
      </w:pPr>
    </w:p>
    <w:p>
      <w:pPr>
        <w:widowControl/>
        <w:spacing w:line="360" w:lineRule="auto"/>
        <w:contextualSpacing/>
        <w:outlineLvl w:val="9"/>
        <w:rPr>
          <w:rFonts w:hint="eastAsia" w:ascii="宋体" w:hAnsi="宋体" w:cs="宋体"/>
          <w:b/>
          <w:bCs/>
          <w:sz w:val="24"/>
          <w:highlight w:val="none"/>
        </w:rPr>
      </w:pPr>
      <w:r>
        <w:rPr>
          <w:rFonts w:hint="eastAsia" w:ascii="宋体" w:hAnsi="宋体" w:cs="宋体"/>
          <w:b/>
          <w:bCs/>
          <w:sz w:val="24"/>
          <w:highlight w:val="none"/>
        </w:rPr>
        <w:t xml:space="preserve">    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cs="宋体"/>
          <w:b/>
          <w:bCs/>
          <w:sz w:val="24"/>
          <w:highlight w:val="none"/>
          <w:u w:val="single"/>
        </w:rPr>
        <w:t>接受本风险揭示书及《理财计划产品说明书》《投资者权益须知》《理财计划投资协议书》《理财计划销售协议书》等本理财计划合同全部内容，</w:t>
      </w:r>
      <w:r>
        <w:rPr>
          <w:rFonts w:hint="eastAsia" w:ascii="宋体" w:hAnsi="宋体" w:cs="宋体"/>
          <w:b/>
          <w:bCs/>
          <w:sz w:val="24"/>
          <w:highlight w:val="none"/>
        </w:rPr>
        <w:t>自愿且有能力承担</w:t>
      </w:r>
      <w:r>
        <w:rPr>
          <w:rFonts w:hint="eastAsia" w:ascii="宋体" w:hAnsi="宋体" w:cs="宋体"/>
          <w:b/>
          <w:bCs/>
          <w:sz w:val="24"/>
          <w:highlight w:val="none"/>
          <w:u w:val="single"/>
        </w:rPr>
        <w:t>投资本理财计划的</w:t>
      </w:r>
      <w:r>
        <w:rPr>
          <w:rFonts w:hint="eastAsia" w:ascii="宋体" w:hAnsi="宋体" w:cs="宋体"/>
          <w:b/>
          <w:bCs/>
          <w:sz w:val="24"/>
          <w:highlight w:val="none"/>
        </w:rPr>
        <w:t>风险。</w:t>
      </w:r>
    </w:p>
    <w:p>
      <w:pPr>
        <w:widowControl/>
        <w:spacing w:line="360" w:lineRule="auto"/>
        <w:contextualSpacing/>
        <w:outlineLvl w:val="9"/>
        <w:rPr>
          <w:rFonts w:ascii="宋体" w:hAnsi="宋体" w:cs="宋体"/>
          <w:sz w:val="24"/>
          <w:highlight w:val="none"/>
        </w:rPr>
      </w:pPr>
      <w:r>
        <w:rPr>
          <w:rFonts w:hint="eastAsia" w:ascii="宋体" w:hAnsi="宋体" w:cs="宋体"/>
          <w:b/>
          <w:bCs/>
          <w:sz w:val="24"/>
          <w:highlight w:val="none"/>
        </w:rPr>
        <w:t xml:space="preserve">    </w:t>
      </w:r>
      <w:r>
        <w:rPr>
          <w:rFonts w:hint="eastAsia" w:ascii="宋体" w:hAnsi="宋体" w:cs="宋体"/>
          <w:b/>
          <w:bCs/>
          <w:sz w:val="24"/>
          <w:highlight w:val="none"/>
          <w:u w:val="single"/>
        </w:rPr>
        <w:t>本公司/单位</w:t>
      </w:r>
      <w:r>
        <w:rPr>
          <w:rFonts w:hint="eastAsia" w:ascii="宋体" w:hAnsi="宋体" w:cs="宋体"/>
          <w:b/>
          <w:bCs/>
          <w:sz w:val="24"/>
          <w:highlight w:val="none"/>
          <w:u w:val="single"/>
          <w:lang w:val="en-US" w:eastAsia="zh-CN"/>
        </w:rPr>
        <w:t>购买</w:t>
      </w:r>
      <w:r>
        <w:rPr>
          <w:rFonts w:hint="eastAsia" w:ascii="宋体" w:hAnsi="宋体" w:cs="宋体"/>
          <w:b/>
          <w:bCs/>
          <w:sz w:val="24"/>
          <w:highlight w:val="none"/>
          <w:u w:val="single"/>
        </w:rPr>
        <w:t>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widowControl/>
        <w:spacing w:line="360" w:lineRule="auto"/>
        <w:contextualSpacing/>
        <w:outlineLvl w:val="9"/>
        <w:rPr>
          <w:rFonts w:hint="eastAsia" w:ascii="宋体" w:hAnsi="宋体" w:cs="宋体"/>
          <w:sz w:val="24"/>
          <w:highlight w:val="none"/>
        </w:rPr>
      </w:pPr>
    </w:p>
    <w:p>
      <w:pPr>
        <w:widowControl/>
        <w:spacing w:line="360" w:lineRule="auto"/>
        <w:contextualSpacing/>
        <w:outlineLvl w:val="9"/>
        <w:rPr>
          <w:rFonts w:hint="eastAsia" w:ascii="宋体" w:hAnsi="宋体" w:cs="宋体"/>
          <w:sz w:val="24"/>
          <w:highlight w:val="none"/>
        </w:rPr>
      </w:pPr>
    </w:p>
    <w:p>
      <w:pPr>
        <w:widowControl/>
        <w:spacing w:line="360" w:lineRule="auto"/>
        <w:contextualSpacing/>
        <w:outlineLvl w:val="9"/>
        <w:rPr>
          <w:rFonts w:hint="eastAsia" w:ascii="宋体" w:hAnsi="宋体" w:cs="宋体"/>
          <w:kern w:val="0"/>
          <w:sz w:val="24"/>
          <w:highlight w:val="none"/>
        </w:rPr>
      </w:pPr>
      <w:r>
        <w:rPr>
          <w:rFonts w:hint="eastAsia" w:ascii="宋体" w:hAnsi="宋体" w:cs="宋体"/>
          <w:kern w:val="0"/>
          <w:sz w:val="24"/>
          <w:highlight w:val="none"/>
        </w:rPr>
        <w:t>投资者（公章）                          法定代表人或授权代理人（签章）</w:t>
      </w:r>
    </w:p>
    <w:p>
      <w:pPr>
        <w:widowControl/>
        <w:spacing w:line="360" w:lineRule="auto"/>
        <w:contextualSpacing/>
        <w:outlineLvl w:val="9"/>
        <w:rPr>
          <w:rFonts w:hint="eastAsia" w:ascii="宋体" w:hAnsi="宋体" w:cs="宋体"/>
          <w:kern w:val="0"/>
          <w:sz w:val="24"/>
          <w:highlight w:val="none"/>
        </w:rPr>
      </w:pPr>
    </w:p>
    <w:p>
      <w:pPr>
        <w:widowControl/>
        <w:spacing w:line="360" w:lineRule="auto"/>
        <w:contextualSpacing/>
        <w:outlineLvl w:val="9"/>
        <w:rPr>
          <w:rFonts w:hint="eastAsia" w:ascii="宋体" w:hAnsi="宋体" w:cs="宋体"/>
          <w:kern w:val="0"/>
          <w:sz w:val="24"/>
          <w:highlight w:val="none"/>
        </w:rPr>
      </w:pPr>
    </w:p>
    <w:p>
      <w:pPr>
        <w:widowControl/>
        <w:spacing w:line="360" w:lineRule="auto"/>
        <w:contextualSpacing/>
        <w:outlineLvl w:val="9"/>
        <w:rPr>
          <w:rFonts w:hint="eastAsia" w:ascii="宋体" w:hAnsi="宋体" w:cs="宋体"/>
          <w:kern w:val="0"/>
          <w:sz w:val="24"/>
          <w:highlight w:val="none"/>
        </w:rPr>
      </w:pPr>
    </w:p>
    <w:p>
      <w:pPr>
        <w:widowControl/>
        <w:spacing w:line="360" w:lineRule="auto"/>
        <w:contextualSpacing/>
        <w:outlineLvl w:val="9"/>
        <w:rPr>
          <w:rFonts w:hint="eastAsia" w:ascii="宋体" w:hAnsi="宋体" w:cs="宋体"/>
          <w:kern w:val="0"/>
          <w:sz w:val="24"/>
          <w:highlight w:val="none"/>
        </w:rPr>
      </w:pP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spacing w:line="360" w:lineRule="auto"/>
        <w:ind w:firstLine="480" w:firstLineChars="200"/>
        <w:jc w:val="right"/>
        <w:rPr>
          <w:rFonts w:hint="eastAsia"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spacing w:line="360" w:lineRule="auto"/>
        <w:ind w:firstLine="480" w:firstLineChars="200"/>
        <w:jc w:val="right"/>
        <w:rPr>
          <w:rFonts w:ascii="宋体" w:hAnsi="宋体" w:cs="宋体"/>
          <w:bCs/>
          <w:sz w:val="24"/>
          <w:highlight w:val="none"/>
        </w:rPr>
      </w:pPr>
    </w:p>
    <w:p>
      <w:pPr>
        <w:jc w:val="both"/>
        <w:rPr>
          <w:rFonts w:hint="eastAsia"/>
          <w:b/>
          <w:sz w:val="44"/>
          <w:szCs w:val="4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pPr>
    <w:r>
      <w:rPr>
        <w:rFonts w:hint="eastAsia"/>
        <w:b/>
        <w:bCs/>
        <w:color w:val="auto"/>
        <w:lang w:eastAsia="zh-CN"/>
      </w:rPr>
      <w:t>理财非存款</w:t>
    </w:r>
    <w:r>
      <w:rPr>
        <w:rFonts w:hint="eastAsia"/>
        <w:b/>
        <w:bCs/>
        <w:color w:val="auto"/>
        <w:lang w:val="en-US" w:eastAsia="zh-CN"/>
      </w:rPr>
      <w:t xml:space="preserve"> 产品有风险 投资</w:t>
    </w:r>
    <w:r>
      <w:rPr>
        <w:rFonts w:hint="eastAsia"/>
        <w:b/>
        <w:bCs/>
        <w:color w:val="auto"/>
        <w:highlight w:val="none"/>
        <w:lang w:val="en-US" w:eastAsia="zh-CN"/>
      </w:rPr>
      <w:t>须</w:t>
    </w:r>
    <w:r>
      <w:rPr>
        <w:rFonts w:hint="eastAsia"/>
        <w:b/>
        <w:bCs/>
        <w:color w:val="auto"/>
        <w:lang w:val="en-US" w:eastAsia="zh-CN"/>
      </w:rPr>
      <w:t>谨慎</w:t>
    </w: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CEBF199A"/>
    <w:multiLevelType w:val="singleLevel"/>
    <w:tmpl w:val="CEBF199A"/>
    <w:lvl w:ilvl="0" w:tentative="0">
      <w:start w:val="1"/>
      <w:numFmt w:val="chineseCounting"/>
      <w:suff w:val="nothing"/>
      <w:lvlText w:val="（%1）"/>
      <w:lvlJc w:val="left"/>
      <w:pPr>
        <w:ind w:left="0" w:firstLine="420"/>
      </w:pPr>
      <w:rPr>
        <w:rFonts w:hint="eastAsia"/>
      </w:rPr>
    </w:lvl>
  </w:abstractNum>
  <w:abstractNum w:abstractNumId="3">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5">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5"/>
  </w:num>
  <w:num w:numId="4">
    <w:abstractNumId w:val="4"/>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37e384c3-4aaa-440e-934e-6eda64ea758b"/>
  </w:docVars>
  <w:rsids>
    <w:rsidRoot w:val="00172A27"/>
    <w:rsid w:val="00127EED"/>
    <w:rsid w:val="002C7EF9"/>
    <w:rsid w:val="004909B3"/>
    <w:rsid w:val="00520830"/>
    <w:rsid w:val="006E07BC"/>
    <w:rsid w:val="007B6489"/>
    <w:rsid w:val="00AB5752"/>
    <w:rsid w:val="00E06929"/>
    <w:rsid w:val="00EB712E"/>
    <w:rsid w:val="00FB0E83"/>
    <w:rsid w:val="01E330BC"/>
    <w:rsid w:val="022C266D"/>
    <w:rsid w:val="02CB4AF7"/>
    <w:rsid w:val="03170B42"/>
    <w:rsid w:val="033259D5"/>
    <w:rsid w:val="03E00C28"/>
    <w:rsid w:val="0468177F"/>
    <w:rsid w:val="04845B79"/>
    <w:rsid w:val="060E39F5"/>
    <w:rsid w:val="06605967"/>
    <w:rsid w:val="06DF1F61"/>
    <w:rsid w:val="07F57DA4"/>
    <w:rsid w:val="0825466B"/>
    <w:rsid w:val="08C06B57"/>
    <w:rsid w:val="0AEF3D0C"/>
    <w:rsid w:val="0B413915"/>
    <w:rsid w:val="0B732FC5"/>
    <w:rsid w:val="0B8251C9"/>
    <w:rsid w:val="0B9C1C2D"/>
    <w:rsid w:val="0B9E090F"/>
    <w:rsid w:val="0CD50D95"/>
    <w:rsid w:val="0E7B6A15"/>
    <w:rsid w:val="0E9E528B"/>
    <w:rsid w:val="0F777231"/>
    <w:rsid w:val="0F8072BB"/>
    <w:rsid w:val="0F866D61"/>
    <w:rsid w:val="0FA604D1"/>
    <w:rsid w:val="0FA919CE"/>
    <w:rsid w:val="0FAD023A"/>
    <w:rsid w:val="10267CF2"/>
    <w:rsid w:val="10D07610"/>
    <w:rsid w:val="10E505B7"/>
    <w:rsid w:val="1141717E"/>
    <w:rsid w:val="11C946E2"/>
    <w:rsid w:val="126D33E8"/>
    <w:rsid w:val="127D7AC5"/>
    <w:rsid w:val="132F20ED"/>
    <w:rsid w:val="14233F1C"/>
    <w:rsid w:val="144F2413"/>
    <w:rsid w:val="14CB7308"/>
    <w:rsid w:val="15025C38"/>
    <w:rsid w:val="15507D31"/>
    <w:rsid w:val="155A68E0"/>
    <w:rsid w:val="17F36337"/>
    <w:rsid w:val="18A92B8D"/>
    <w:rsid w:val="1BFC63BA"/>
    <w:rsid w:val="1C692544"/>
    <w:rsid w:val="1C79739D"/>
    <w:rsid w:val="1C8450AB"/>
    <w:rsid w:val="1C8F465C"/>
    <w:rsid w:val="1CDE544D"/>
    <w:rsid w:val="1E135651"/>
    <w:rsid w:val="1E544E3F"/>
    <w:rsid w:val="1EF50B96"/>
    <w:rsid w:val="1F7D3106"/>
    <w:rsid w:val="1FDA2F63"/>
    <w:rsid w:val="21A67B64"/>
    <w:rsid w:val="21F7518F"/>
    <w:rsid w:val="2297514B"/>
    <w:rsid w:val="22B23AF8"/>
    <w:rsid w:val="242D0854"/>
    <w:rsid w:val="247755D9"/>
    <w:rsid w:val="24976248"/>
    <w:rsid w:val="25D26B04"/>
    <w:rsid w:val="25DA3557"/>
    <w:rsid w:val="25E74F4E"/>
    <w:rsid w:val="26B7240F"/>
    <w:rsid w:val="26B84FF0"/>
    <w:rsid w:val="26F54243"/>
    <w:rsid w:val="27505FBA"/>
    <w:rsid w:val="2BCD0352"/>
    <w:rsid w:val="2BFB4554"/>
    <w:rsid w:val="2C9B2A75"/>
    <w:rsid w:val="2CA02CA1"/>
    <w:rsid w:val="2CB41CDE"/>
    <w:rsid w:val="2D4B4C9F"/>
    <w:rsid w:val="2E804153"/>
    <w:rsid w:val="2F5B1280"/>
    <w:rsid w:val="2F7A6DFD"/>
    <w:rsid w:val="2FAF3B79"/>
    <w:rsid w:val="2FF60969"/>
    <w:rsid w:val="31750334"/>
    <w:rsid w:val="3182057B"/>
    <w:rsid w:val="32485F31"/>
    <w:rsid w:val="34824A12"/>
    <w:rsid w:val="35105209"/>
    <w:rsid w:val="370319F6"/>
    <w:rsid w:val="37501DF6"/>
    <w:rsid w:val="37AE7D0A"/>
    <w:rsid w:val="3888715E"/>
    <w:rsid w:val="389B7D8D"/>
    <w:rsid w:val="39CE7544"/>
    <w:rsid w:val="39DC1BD6"/>
    <w:rsid w:val="3AFE2EA6"/>
    <w:rsid w:val="3B613958"/>
    <w:rsid w:val="3B7A06B4"/>
    <w:rsid w:val="3C162EE1"/>
    <w:rsid w:val="3C72467E"/>
    <w:rsid w:val="3D803185"/>
    <w:rsid w:val="3D952002"/>
    <w:rsid w:val="3DAF1A5E"/>
    <w:rsid w:val="3DE818A9"/>
    <w:rsid w:val="3E267866"/>
    <w:rsid w:val="3E446F72"/>
    <w:rsid w:val="3E6260D1"/>
    <w:rsid w:val="3F9428BE"/>
    <w:rsid w:val="401D42F0"/>
    <w:rsid w:val="40FA2D1A"/>
    <w:rsid w:val="41F97743"/>
    <w:rsid w:val="42E329DD"/>
    <w:rsid w:val="433D378B"/>
    <w:rsid w:val="434C7FF3"/>
    <w:rsid w:val="463B593D"/>
    <w:rsid w:val="46CB2C58"/>
    <w:rsid w:val="48402042"/>
    <w:rsid w:val="48424A1F"/>
    <w:rsid w:val="48975A3F"/>
    <w:rsid w:val="490B171A"/>
    <w:rsid w:val="49DD0ED4"/>
    <w:rsid w:val="4A2263FF"/>
    <w:rsid w:val="4A562519"/>
    <w:rsid w:val="4ADD3BE3"/>
    <w:rsid w:val="4B841650"/>
    <w:rsid w:val="4BE505DD"/>
    <w:rsid w:val="4C5C40B1"/>
    <w:rsid w:val="4CC53366"/>
    <w:rsid w:val="4D2E049A"/>
    <w:rsid w:val="4D693017"/>
    <w:rsid w:val="4D7F06C0"/>
    <w:rsid w:val="4D8D1273"/>
    <w:rsid w:val="4F1B6F35"/>
    <w:rsid w:val="4F20048B"/>
    <w:rsid w:val="4F212124"/>
    <w:rsid w:val="4F4A03F3"/>
    <w:rsid w:val="503B586A"/>
    <w:rsid w:val="508D75C7"/>
    <w:rsid w:val="51F56F6B"/>
    <w:rsid w:val="52091595"/>
    <w:rsid w:val="5221238A"/>
    <w:rsid w:val="5246747D"/>
    <w:rsid w:val="525024E8"/>
    <w:rsid w:val="52D20572"/>
    <w:rsid w:val="5349716A"/>
    <w:rsid w:val="53916CC5"/>
    <w:rsid w:val="543B6C03"/>
    <w:rsid w:val="5452022E"/>
    <w:rsid w:val="550A7003"/>
    <w:rsid w:val="554B520C"/>
    <w:rsid w:val="55967810"/>
    <w:rsid w:val="55A42FA5"/>
    <w:rsid w:val="55D73C36"/>
    <w:rsid w:val="56192B5A"/>
    <w:rsid w:val="5764451A"/>
    <w:rsid w:val="58DD72C6"/>
    <w:rsid w:val="5A0B1227"/>
    <w:rsid w:val="5A1E2133"/>
    <w:rsid w:val="5B2F0B8B"/>
    <w:rsid w:val="5BFA606A"/>
    <w:rsid w:val="5C7E7C83"/>
    <w:rsid w:val="5D6E6559"/>
    <w:rsid w:val="5DF93585"/>
    <w:rsid w:val="5E531617"/>
    <w:rsid w:val="5F087411"/>
    <w:rsid w:val="5FE37D04"/>
    <w:rsid w:val="60A362BD"/>
    <w:rsid w:val="60C809E8"/>
    <w:rsid w:val="60DD604A"/>
    <w:rsid w:val="612B3563"/>
    <w:rsid w:val="61AF074A"/>
    <w:rsid w:val="62D35EDA"/>
    <w:rsid w:val="64606D9B"/>
    <w:rsid w:val="66853343"/>
    <w:rsid w:val="66A95B28"/>
    <w:rsid w:val="66B655AC"/>
    <w:rsid w:val="67075395"/>
    <w:rsid w:val="67B46A51"/>
    <w:rsid w:val="68982F49"/>
    <w:rsid w:val="68C43CF2"/>
    <w:rsid w:val="68E6218C"/>
    <w:rsid w:val="697836CF"/>
    <w:rsid w:val="698C75AE"/>
    <w:rsid w:val="69A5600A"/>
    <w:rsid w:val="69FF60E8"/>
    <w:rsid w:val="6B5C27F1"/>
    <w:rsid w:val="6C1A61DA"/>
    <w:rsid w:val="6CB00E61"/>
    <w:rsid w:val="6DCE5B48"/>
    <w:rsid w:val="6E822944"/>
    <w:rsid w:val="6F443EC4"/>
    <w:rsid w:val="709F5E89"/>
    <w:rsid w:val="70DE1F58"/>
    <w:rsid w:val="723B4B2B"/>
    <w:rsid w:val="72CF076E"/>
    <w:rsid w:val="73040C29"/>
    <w:rsid w:val="736047B8"/>
    <w:rsid w:val="739F7200"/>
    <w:rsid w:val="74F55397"/>
    <w:rsid w:val="753F4B02"/>
    <w:rsid w:val="7790260C"/>
    <w:rsid w:val="779E2189"/>
    <w:rsid w:val="77B52AAE"/>
    <w:rsid w:val="780A669C"/>
    <w:rsid w:val="789E1844"/>
    <w:rsid w:val="78E954B9"/>
    <w:rsid w:val="79C90C2C"/>
    <w:rsid w:val="7A3B2905"/>
    <w:rsid w:val="7AC953A0"/>
    <w:rsid w:val="7AFD2104"/>
    <w:rsid w:val="7B0F21D0"/>
    <w:rsid w:val="7C0B400E"/>
    <w:rsid w:val="7CC17505"/>
    <w:rsid w:val="7E09751D"/>
    <w:rsid w:val="7E113679"/>
    <w:rsid w:val="7EA570C5"/>
    <w:rsid w:val="7F074098"/>
    <w:rsid w:val="7F7D20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黑体"/>
      <w:kern w:val="2"/>
      <w:sz w:val="21"/>
      <w:szCs w:val="24"/>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character" w:default="1" w:styleId="11">
    <w:name w:val="Default Paragraph Font"/>
    <w:unhideWhenUsed/>
    <w:qFormat/>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rFonts w:cs="Times New Roman"/>
    </w:rPr>
  </w:style>
  <w:style w:type="paragraph" w:styleId="4">
    <w:name w:val="Balloon Text"/>
    <w:basedOn w:val="1"/>
    <w:link w:val="17"/>
    <w:qFormat/>
    <w:uiPriority w:val="0"/>
    <w:rPr>
      <w:rFonts w:cs="Times New Roman"/>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paragraph" w:styleId="8">
    <w:name w:val="annotation subject"/>
    <w:basedOn w:val="3"/>
    <w:next w:val="3"/>
    <w:link w:val="16"/>
    <w:qFormat/>
    <w:uiPriority w:val="0"/>
    <w:rPr>
      <w:rFonts w:cs="Times New Roman"/>
      <w:b/>
      <w:bCs/>
    </w:rPr>
  </w:style>
  <w:style w:type="table" w:styleId="10">
    <w:name w:val="Table Grid"/>
    <w:basedOn w:val="9"/>
    <w:unhideWhenUsed/>
    <w:qFormat/>
    <w:uiPriority w:val="99"/>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color w:val="000000"/>
      <w:sz w:val="24"/>
      <w:szCs w:val="24"/>
      <w:lang w:val="en-US" w:eastAsia="zh-CN" w:bidi="ar-SA"/>
    </w:rPr>
  </w:style>
  <w:style w:type="paragraph" w:customStyle="1" w:styleId="15">
    <w:name w:val="List Paragraph"/>
    <w:basedOn w:val="1"/>
    <w:unhideWhenUsed/>
    <w:uiPriority w:val="99"/>
    <w:pPr>
      <w:ind w:firstLine="420" w:firstLineChars="200"/>
    </w:pPr>
  </w:style>
  <w:style w:type="character" w:customStyle="1" w:styleId="16">
    <w:name w:val="批注主题 Char"/>
    <w:link w:val="8"/>
    <w:qFormat/>
    <w:uiPriority w:val="0"/>
    <w:rPr>
      <w:rFonts w:ascii="Calibri" w:hAnsi="Calibri" w:cs="黑体"/>
      <w:b/>
      <w:bCs/>
      <w:kern w:val="2"/>
      <w:sz w:val="21"/>
      <w:szCs w:val="24"/>
    </w:rPr>
  </w:style>
  <w:style w:type="character" w:customStyle="1" w:styleId="17">
    <w:name w:val="批注框文本 Char"/>
    <w:link w:val="4"/>
    <w:qFormat/>
    <w:uiPriority w:val="0"/>
    <w:rPr>
      <w:rFonts w:ascii="Calibri" w:hAnsi="Calibri" w:cs="黑体"/>
      <w:kern w:val="2"/>
      <w:sz w:val="18"/>
      <w:szCs w:val="18"/>
    </w:rPr>
  </w:style>
  <w:style w:type="character" w:customStyle="1" w:styleId="18">
    <w:name w:val="批注文字 Char"/>
    <w:link w:val="3"/>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56</Pages>
  <Words>35064</Words>
  <Characters>36802</Characters>
  <Lines>255</Lines>
  <Paragraphs>71</Paragraphs>
  <TotalTime>1</TotalTime>
  <ScaleCrop>false</ScaleCrop>
  <LinksUpToDate>false</LinksUpToDate>
  <CharactersWithSpaces>37253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2021-07-01T06:35:00Z</dcterms:created>
  <dc:creator>Administrator</dc:creator>
  <cp:lastModifiedBy>hccb</cp:lastModifiedBy>
  <dcterms:modified xsi:type="dcterms:W3CDTF">2025-06-23T07:11:25Z</dcterms:modified>
  <dc:title>杭银理财幸福99XXXX理财计划合同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