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2317">
      <w:pPr>
        <w:widowControl/>
        <w:spacing w:before="100" w:beforeAutospacing="1" w:after="100" w:afterAutospacing="1"/>
        <w:jc w:val="center"/>
        <w:rPr>
          <w:rFonts w:ascii="宋体" w:hAnsi="宋体" w:eastAsia="宋体" w:cs="宋体"/>
          <w:color w:val="auto"/>
          <w:kern w:val="0"/>
          <w:sz w:val="24"/>
          <w:szCs w:val="24"/>
        </w:rPr>
      </w:pPr>
      <w:r>
        <w:rPr>
          <w:rFonts w:hint="eastAsia" w:ascii="宋体" w:hAnsi="宋体" w:eastAsia="宋体" w:cs="宋体"/>
          <w:b/>
          <w:bCs/>
          <w:color w:val="auto"/>
          <w:kern w:val="0"/>
          <w:sz w:val="36"/>
          <w:szCs w:val="36"/>
        </w:rPr>
        <w:t xml:space="preserve"> 竞争性谈判采购公告</w:t>
      </w:r>
      <w:r>
        <w:rPr>
          <w:rFonts w:ascii="宋体" w:hAnsi="宋体" w:eastAsia="宋体" w:cs="宋体"/>
          <w:color w:val="auto"/>
          <w:kern w:val="0"/>
          <w:sz w:val="24"/>
          <w:szCs w:val="24"/>
        </w:rPr>
        <w:t> </w:t>
      </w:r>
    </w:p>
    <w:p w14:paraId="285166A2">
      <w:pPr>
        <w:widowControl/>
        <w:spacing w:before="75" w:after="75" w:line="435"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u w:val="single"/>
          <w:lang w:eastAsia="zh-CN"/>
        </w:rPr>
        <w:t>福建沙县农村商业银行股份有限公司</w:t>
      </w:r>
      <w:r>
        <w:rPr>
          <w:rFonts w:ascii="宋体" w:hAnsi="宋体" w:eastAsia="宋体" w:cs="宋体"/>
          <w:color w:val="auto"/>
          <w:kern w:val="0"/>
          <w:sz w:val="24"/>
          <w:szCs w:val="24"/>
        </w:rPr>
        <w:t>已根据政府采购相关法律法规，经相应程序确定采用</w:t>
      </w:r>
      <w:r>
        <w:rPr>
          <w:rFonts w:ascii="宋体" w:hAnsi="宋体" w:eastAsia="宋体" w:cs="宋体"/>
          <w:color w:val="auto"/>
          <w:kern w:val="0"/>
          <w:sz w:val="24"/>
          <w:szCs w:val="24"/>
          <w:u w:val="single"/>
        </w:rPr>
        <w:t xml:space="preserve"> 竞争性谈判 </w:t>
      </w:r>
      <w:r>
        <w:rPr>
          <w:rFonts w:ascii="宋体" w:hAnsi="宋体" w:eastAsia="宋体" w:cs="宋体"/>
          <w:color w:val="auto"/>
          <w:kern w:val="0"/>
          <w:sz w:val="24"/>
          <w:szCs w:val="24"/>
        </w:rPr>
        <w:t>方式组织</w:t>
      </w:r>
      <w:r>
        <w:rPr>
          <w:rFonts w:hint="eastAsia" w:ascii="宋体" w:hAnsi="宋体" w:eastAsia="宋体" w:cs="宋体"/>
          <w:color w:val="auto"/>
          <w:kern w:val="0"/>
          <w:sz w:val="24"/>
          <w:szCs w:val="24"/>
          <w:u w:val="single"/>
          <w:lang w:eastAsia="zh-CN"/>
        </w:rPr>
        <w:t>沙县区总医院医保刷脸结算业务应用系统</w:t>
      </w:r>
      <w:r>
        <w:rPr>
          <w:rFonts w:ascii="宋体" w:hAnsi="宋体" w:eastAsia="宋体" w:cs="宋体"/>
          <w:color w:val="auto"/>
          <w:kern w:val="0"/>
          <w:sz w:val="24"/>
          <w:szCs w:val="24"/>
        </w:rPr>
        <w:t>以下简称：“本项目”）的政府采购活动，现欢迎</w:t>
      </w:r>
      <w:r>
        <w:rPr>
          <w:rFonts w:hint="eastAsia" w:ascii="宋体" w:hAnsi="宋体" w:eastAsia="宋体" w:cs="宋体"/>
          <w:color w:val="auto"/>
          <w:kern w:val="0"/>
          <w:sz w:val="24"/>
          <w:szCs w:val="24"/>
        </w:rPr>
        <w:t>区域内</w:t>
      </w:r>
      <w:r>
        <w:rPr>
          <w:rFonts w:ascii="宋体" w:hAnsi="宋体" w:eastAsia="宋体" w:cs="宋体"/>
          <w:color w:val="auto"/>
          <w:kern w:val="0"/>
          <w:sz w:val="24"/>
          <w:szCs w:val="24"/>
        </w:rPr>
        <w:t>合格的供应商前来参加</w:t>
      </w:r>
      <w:r>
        <w:rPr>
          <w:rFonts w:hint="eastAsia" w:ascii="宋体" w:hAnsi="宋体" w:eastAsia="宋体" w:cs="宋体"/>
          <w:color w:val="auto"/>
          <w:kern w:val="0"/>
          <w:sz w:val="24"/>
          <w:szCs w:val="24"/>
          <w:lang w:eastAsia="zh-CN"/>
        </w:rPr>
        <w:t>。</w:t>
      </w:r>
      <w:r>
        <w:rPr>
          <w:rFonts w:ascii="宋体" w:hAnsi="宋体" w:eastAsia="宋体" w:cs="宋体"/>
          <w:color w:val="auto"/>
          <w:kern w:val="0"/>
          <w:sz w:val="24"/>
          <w:szCs w:val="24"/>
        </w:rPr>
        <w:t>本项目由采购人委托</w:t>
      </w:r>
      <w:r>
        <w:rPr>
          <w:rFonts w:hint="eastAsia" w:ascii="宋体" w:hAnsi="宋体" w:eastAsia="宋体" w:cs="宋体"/>
          <w:color w:val="auto"/>
          <w:kern w:val="0"/>
          <w:sz w:val="24"/>
          <w:szCs w:val="24"/>
          <w:lang w:eastAsia="zh-CN"/>
        </w:rPr>
        <w:t>福建智祺工程管理有限公司</w:t>
      </w:r>
      <w:r>
        <w:rPr>
          <w:rFonts w:ascii="宋体" w:hAnsi="宋体" w:eastAsia="宋体" w:cs="宋体"/>
          <w:color w:val="auto"/>
          <w:kern w:val="0"/>
          <w:sz w:val="24"/>
          <w:szCs w:val="24"/>
        </w:rPr>
        <w:t>开展竞争性谈判活动。</w:t>
      </w:r>
    </w:p>
    <w:p w14:paraId="10150761">
      <w:pPr>
        <w:widowControl/>
        <w:spacing w:before="75" w:after="75"/>
        <w:rPr>
          <w:rFonts w:hint="eastAsia" w:ascii="宋体" w:hAnsi="宋体" w:eastAsia="宋体" w:cs="宋体"/>
          <w:color w:val="auto"/>
          <w:kern w:val="0"/>
          <w:sz w:val="24"/>
          <w:szCs w:val="24"/>
          <w:lang w:eastAsia="zh-CN"/>
        </w:rPr>
      </w:pPr>
      <w:r>
        <w:rPr>
          <w:rFonts w:ascii="宋体" w:hAnsi="宋体" w:eastAsia="宋体" w:cs="宋体"/>
          <w:color w:val="auto"/>
          <w:kern w:val="0"/>
          <w:sz w:val="24"/>
          <w:szCs w:val="24"/>
        </w:rPr>
        <w:t>1、项目编号：</w:t>
      </w:r>
      <w:r>
        <w:rPr>
          <w:rFonts w:hint="eastAsia" w:ascii="宋体" w:hAnsi="宋体" w:eastAsia="宋体" w:cs="宋体"/>
          <w:color w:val="auto"/>
          <w:kern w:val="0"/>
          <w:sz w:val="24"/>
          <w:szCs w:val="24"/>
          <w:lang w:eastAsia="zh-CN"/>
        </w:rPr>
        <w:t>智祺采购[2025]008号</w:t>
      </w:r>
    </w:p>
    <w:p w14:paraId="38F21D66">
      <w:pPr>
        <w:widowControl/>
        <w:spacing w:before="75" w:after="75"/>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内容及要求：《采购标的一览表及第</w:t>
      </w:r>
      <w:r>
        <w:rPr>
          <w:rFonts w:hint="eastAsia" w:ascii="宋体" w:hAnsi="宋体" w:eastAsia="宋体" w:cs="宋体"/>
          <w:color w:val="auto"/>
          <w:kern w:val="0"/>
          <w:sz w:val="24"/>
          <w:szCs w:val="24"/>
        </w:rPr>
        <w:t>三</w:t>
      </w:r>
      <w:r>
        <w:rPr>
          <w:rFonts w:ascii="宋体" w:hAnsi="宋体" w:eastAsia="宋体" w:cs="宋体"/>
          <w:color w:val="auto"/>
          <w:kern w:val="0"/>
          <w:sz w:val="24"/>
          <w:szCs w:val="24"/>
        </w:rPr>
        <w:t>章》</w:t>
      </w:r>
    </w:p>
    <w:p w14:paraId="0E9C0F64">
      <w:pPr>
        <w:widowControl/>
        <w:spacing w:before="75" w:after="75"/>
        <w:jc w:val="center"/>
        <w:rPr>
          <w:rFonts w:ascii="宋体" w:hAnsi="宋体" w:eastAsia="宋体" w:cs="宋体"/>
          <w:b/>
          <w:color w:val="auto"/>
          <w:kern w:val="0"/>
          <w:sz w:val="24"/>
          <w:szCs w:val="24"/>
        </w:rPr>
      </w:pPr>
      <w:r>
        <w:rPr>
          <w:rFonts w:ascii="宋体" w:hAnsi="宋体" w:eastAsia="宋体" w:cs="宋体"/>
          <w:b/>
          <w:color w:val="auto"/>
          <w:kern w:val="0"/>
          <w:sz w:val="24"/>
          <w:szCs w:val="24"/>
        </w:rPr>
        <w:t>采购标的一览表</w:t>
      </w:r>
    </w:p>
    <w:p w14:paraId="0A1D30D9">
      <w:pPr>
        <w:widowControl/>
        <w:spacing w:before="75" w:after="75"/>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金额单位：人民币元</w:t>
      </w:r>
    </w:p>
    <w:tbl>
      <w:tblPr>
        <w:tblStyle w:val="2"/>
        <w:tblW w:w="559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45"/>
        <w:gridCol w:w="2691"/>
        <w:gridCol w:w="1266"/>
        <w:gridCol w:w="1620"/>
        <w:gridCol w:w="1406"/>
        <w:gridCol w:w="1278"/>
      </w:tblGrid>
      <w:tr w14:paraId="5A573F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blHeader/>
        </w:trPr>
        <w:tc>
          <w:tcPr>
            <w:tcW w:w="1043" w:type="dxa"/>
            <w:tcBorders>
              <w:top w:val="outset" w:color="auto" w:sz="6" w:space="0"/>
              <w:left w:val="outset" w:color="auto" w:sz="6" w:space="0"/>
              <w:bottom w:val="outset" w:color="auto" w:sz="6" w:space="0"/>
              <w:right w:val="outset" w:color="auto" w:sz="6" w:space="0"/>
            </w:tcBorders>
            <w:vAlign w:val="center"/>
          </w:tcPr>
          <w:p w14:paraId="0DC6C5F2">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合同包</w:t>
            </w:r>
          </w:p>
        </w:tc>
        <w:tc>
          <w:tcPr>
            <w:tcW w:w="2686" w:type="dxa"/>
            <w:tcBorders>
              <w:top w:val="outset" w:color="auto" w:sz="6" w:space="0"/>
              <w:left w:val="outset" w:color="auto" w:sz="6" w:space="0"/>
              <w:bottom w:val="outset" w:color="auto" w:sz="6" w:space="0"/>
              <w:right w:val="outset" w:color="auto" w:sz="6" w:space="0"/>
            </w:tcBorders>
            <w:vAlign w:val="center"/>
          </w:tcPr>
          <w:p w14:paraId="1309703B">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采购标的</w:t>
            </w:r>
          </w:p>
        </w:tc>
        <w:tc>
          <w:tcPr>
            <w:tcW w:w="1264" w:type="dxa"/>
            <w:tcBorders>
              <w:top w:val="outset" w:color="auto" w:sz="6" w:space="0"/>
              <w:left w:val="outset" w:color="auto" w:sz="6" w:space="0"/>
              <w:bottom w:val="outset" w:color="auto" w:sz="6" w:space="0"/>
              <w:right w:val="outset" w:color="auto" w:sz="6" w:space="0"/>
            </w:tcBorders>
            <w:vAlign w:val="center"/>
          </w:tcPr>
          <w:p w14:paraId="6B7C31B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617" w:type="dxa"/>
            <w:tcBorders>
              <w:top w:val="outset" w:color="auto" w:sz="6" w:space="0"/>
              <w:left w:val="outset" w:color="auto" w:sz="6" w:space="0"/>
              <w:bottom w:val="outset" w:color="auto" w:sz="6" w:space="0"/>
              <w:right w:val="outset" w:color="auto" w:sz="6" w:space="0"/>
            </w:tcBorders>
            <w:vAlign w:val="center"/>
          </w:tcPr>
          <w:p w14:paraId="18F7B574">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最高限价</w:t>
            </w:r>
            <w:r>
              <w:rPr>
                <w:rFonts w:hint="eastAsia" w:ascii="宋体" w:hAnsi="宋体" w:eastAsia="宋体" w:cs="宋体"/>
                <w:color w:val="auto"/>
                <w:kern w:val="0"/>
                <w:sz w:val="24"/>
                <w:szCs w:val="24"/>
              </w:rPr>
              <w:t xml:space="preserve"> (元)</w:t>
            </w:r>
          </w:p>
        </w:tc>
        <w:tc>
          <w:tcPr>
            <w:tcW w:w="1403" w:type="dxa"/>
            <w:tcBorders>
              <w:top w:val="outset" w:color="auto" w:sz="6" w:space="0"/>
              <w:left w:val="outset" w:color="auto" w:sz="6" w:space="0"/>
              <w:bottom w:val="outset" w:color="auto" w:sz="6" w:space="0"/>
              <w:right w:val="outset" w:color="auto" w:sz="6" w:space="0"/>
            </w:tcBorders>
            <w:vAlign w:val="center"/>
          </w:tcPr>
          <w:p w14:paraId="4D115D35">
            <w:pPr>
              <w:widowControl/>
              <w:jc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谈判</w:t>
            </w:r>
            <w:r>
              <w:rPr>
                <w:rFonts w:ascii="宋体" w:hAnsi="宋体" w:eastAsia="宋体" w:cs="宋体"/>
                <w:b w:val="0"/>
                <w:bCs w:val="0"/>
                <w:color w:val="auto"/>
                <w:kern w:val="0"/>
                <w:sz w:val="24"/>
                <w:szCs w:val="24"/>
              </w:rPr>
              <w:t>保证金</w:t>
            </w:r>
          </w:p>
          <w:p w14:paraId="03B340F1">
            <w:pPr>
              <w:widowControl/>
              <w:jc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（元）</w:t>
            </w:r>
          </w:p>
        </w:tc>
        <w:tc>
          <w:tcPr>
            <w:tcW w:w="1276" w:type="dxa"/>
            <w:tcBorders>
              <w:top w:val="outset" w:color="auto" w:sz="6" w:space="0"/>
              <w:left w:val="outset" w:color="auto" w:sz="6" w:space="0"/>
              <w:bottom w:val="outset" w:color="auto" w:sz="6" w:space="0"/>
              <w:right w:val="outset" w:color="auto" w:sz="6" w:space="0"/>
            </w:tcBorders>
            <w:vAlign w:val="center"/>
          </w:tcPr>
          <w:p w14:paraId="76753102">
            <w:pPr>
              <w:widowControl w:val="0"/>
              <w:spacing w:after="120"/>
              <w:ind w:left="0" w:leftChars="0" w:firstLine="0" w:firstLineChars="0"/>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kern w:val="2"/>
                <w:sz w:val="24"/>
                <w:szCs w:val="24"/>
                <w:lang w:val="en-US" w:eastAsia="zh-CN" w:bidi="ar-SA"/>
              </w:rPr>
              <w:t>所属行业</w:t>
            </w:r>
          </w:p>
        </w:tc>
      </w:tr>
      <w:tr w14:paraId="461261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1" w:hRule="atLeast"/>
          <w:tblHeader/>
        </w:trPr>
        <w:tc>
          <w:tcPr>
            <w:tcW w:w="1043" w:type="dxa"/>
            <w:tcBorders>
              <w:top w:val="outset" w:color="auto" w:sz="6" w:space="0"/>
              <w:left w:val="outset" w:color="auto" w:sz="6" w:space="0"/>
              <w:bottom w:val="outset" w:color="auto" w:sz="6" w:space="0"/>
              <w:right w:val="outset" w:color="auto" w:sz="6" w:space="0"/>
            </w:tcBorders>
            <w:vAlign w:val="center"/>
          </w:tcPr>
          <w:p w14:paraId="32DBD0D3">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2686" w:type="dxa"/>
            <w:tcBorders>
              <w:top w:val="outset" w:color="auto" w:sz="6" w:space="0"/>
              <w:left w:val="outset" w:color="auto" w:sz="6" w:space="0"/>
              <w:bottom w:val="outset" w:color="auto" w:sz="6" w:space="0"/>
              <w:right w:val="outset" w:color="auto" w:sz="6" w:space="0"/>
            </w:tcBorders>
            <w:vAlign w:val="center"/>
          </w:tcPr>
          <w:p w14:paraId="764FA089">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沙县区总医院医保刷脸结算业务应用系统</w:t>
            </w:r>
          </w:p>
        </w:tc>
        <w:tc>
          <w:tcPr>
            <w:tcW w:w="1264" w:type="dxa"/>
            <w:tcBorders>
              <w:top w:val="outset" w:color="auto" w:sz="6" w:space="0"/>
              <w:left w:val="outset" w:color="auto" w:sz="6" w:space="0"/>
              <w:bottom w:val="outset" w:color="auto" w:sz="6" w:space="0"/>
              <w:right w:val="outset" w:color="auto" w:sz="6" w:space="0"/>
            </w:tcBorders>
            <w:vAlign w:val="center"/>
          </w:tcPr>
          <w:p w14:paraId="5F9DB6B2">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1项</w:t>
            </w:r>
          </w:p>
        </w:tc>
        <w:tc>
          <w:tcPr>
            <w:tcW w:w="1617" w:type="dxa"/>
            <w:tcBorders>
              <w:top w:val="outset" w:color="auto" w:sz="6" w:space="0"/>
              <w:left w:val="outset" w:color="auto" w:sz="6" w:space="0"/>
              <w:bottom w:val="outset" w:color="auto" w:sz="6" w:space="0"/>
              <w:right w:val="outset" w:color="auto" w:sz="6" w:space="0"/>
            </w:tcBorders>
            <w:vAlign w:val="center"/>
          </w:tcPr>
          <w:p w14:paraId="2742C19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bCs/>
                <w:sz w:val="24"/>
                <w:szCs w:val="24"/>
                <w:lang w:val="en-US" w:eastAsia="zh-CN"/>
              </w:rPr>
              <w:t>392700</w:t>
            </w:r>
          </w:p>
        </w:tc>
        <w:tc>
          <w:tcPr>
            <w:tcW w:w="1403" w:type="dxa"/>
            <w:tcBorders>
              <w:top w:val="outset" w:color="auto" w:sz="6" w:space="0"/>
              <w:left w:val="outset" w:color="auto" w:sz="6" w:space="0"/>
              <w:bottom w:val="outset" w:color="auto" w:sz="6" w:space="0"/>
              <w:right w:val="outset" w:color="auto" w:sz="6" w:space="0"/>
            </w:tcBorders>
            <w:vAlign w:val="center"/>
          </w:tcPr>
          <w:p w14:paraId="026D99A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7500</w:t>
            </w:r>
          </w:p>
        </w:tc>
        <w:tc>
          <w:tcPr>
            <w:tcW w:w="1276" w:type="dxa"/>
            <w:tcBorders>
              <w:top w:val="outset" w:color="auto" w:sz="6" w:space="0"/>
              <w:left w:val="outset" w:color="auto" w:sz="6" w:space="0"/>
              <w:bottom w:val="outset" w:color="auto" w:sz="6" w:space="0"/>
              <w:right w:val="outset" w:color="auto" w:sz="6" w:space="0"/>
            </w:tcBorders>
            <w:vAlign w:val="center"/>
          </w:tcPr>
          <w:p w14:paraId="0EA227FE">
            <w:pPr>
              <w:widowControl w:val="0"/>
              <w:jc w:val="center"/>
              <w:rPr>
                <w:rFonts w:hint="default" w:ascii="宋体" w:hAnsi="宋体" w:eastAsia="宋体" w:cs="宋体"/>
                <w:color w:val="auto"/>
                <w:kern w:val="0"/>
                <w:sz w:val="24"/>
                <w:szCs w:val="24"/>
                <w:lang w:val="en-US" w:eastAsia="zh-CN" w:bidi="ar-SA"/>
              </w:rPr>
            </w:pPr>
            <w:r>
              <w:rPr>
                <w:rFonts w:hint="eastAsia" w:ascii="宋体" w:hAnsi="宋体" w:eastAsia="宋体" w:cs="宋体"/>
                <w:bCs/>
                <w:kern w:val="2"/>
                <w:sz w:val="24"/>
                <w:szCs w:val="24"/>
                <w:lang w:val="en-US" w:eastAsia="zh-CN" w:bidi="ar-SA"/>
              </w:rPr>
              <w:t>其他未列明行业</w:t>
            </w:r>
          </w:p>
        </w:tc>
      </w:tr>
    </w:tbl>
    <w:p w14:paraId="408708C5">
      <w:pPr>
        <w:widowControl/>
        <w:rPr>
          <w:rFonts w:ascii="宋体" w:hAnsi="宋体" w:eastAsia="宋体" w:cs="宋体"/>
          <w:color w:val="auto"/>
          <w:kern w:val="0"/>
          <w:sz w:val="24"/>
          <w:szCs w:val="24"/>
        </w:rPr>
      </w:pPr>
    </w:p>
    <w:p w14:paraId="7A08CDA4">
      <w:pPr>
        <w:widowControl/>
        <w:spacing w:line="360" w:lineRule="auto"/>
        <w:rPr>
          <w:rFonts w:ascii="宋体" w:hAnsi="宋体" w:eastAsia="宋体" w:cs="宋体"/>
          <w:color w:val="auto"/>
          <w:kern w:val="0"/>
          <w:sz w:val="24"/>
          <w:szCs w:val="24"/>
        </w:rPr>
      </w:pPr>
      <w:r>
        <w:rPr>
          <w:rFonts w:ascii="宋体" w:hAnsi="宋体" w:eastAsia="宋体" w:cs="宋体"/>
          <w:color w:val="auto"/>
          <w:kern w:val="0"/>
          <w:sz w:val="24"/>
          <w:szCs w:val="24"/>
        </w:rPr>
        <w:t>3、供应商的资格要求</w:t>
      </w:r>
    </w:p>
    <w:p w14:paraId="7A126392">
      <w:pPr>
        <w:widowControl/>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.1法定条件：符合《中华人民共和国政府采购法》第二十二条的条件。</w:t>
      </w:r>
    </w:p>
    <w:p w14:paraId="2D9AAF96">
      <w:pPr>
        <w:widowControl/>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.2特定条件：</w:t>
      </w:r>
    </w:p>
    <w:tbl>
      <w:tblPr>
        <w:tblStyle w:val="2"/>
        <w:tblW w:w="5344"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22"/>
        <w:gridCol w:w="6988"/>
      </w:tblGrid>
      <w:tr w14:paraId="557BA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6" w:hRule="atLeast"/>
          <w:tblHeader/>
          <w:tblCellSpacing w:w="0" w:type="dxa"/>
        </w:trPr>
        <w:tc>
          <w:tcPr>
            <w:tcW w:w="1922" w:type="dxa"/>
            <w:tcBorders>
              <w:top w:val="outset" w:color="auto" w:sz="6" w:space="0"/>
              <w:left w:val="outset" w:color="auto" w:sz="6" w:space="0"/>
              <w:bottom w:val="outset" w:color="auto" w:sz="6" w:space="0"/>
              <w:right w:val="outset" w:color="auto" w:sz="6" w:space="0"/>
            </w:tcBorders>
            <w:vAlign w:val="center"/>
          </w:tcPr>
          <w:p w14:paraId="1D7F7A55">
            <w:pPr>
              <w:widowControl/>
              <w:jc w:val="center"/>
              <w:rPr>
                <w:rFonts w:ascii="宋体" w:hAnsi="宋体" w:eastAsia="宋体" w:cs="宋体"/>
                <w:b/>
                <w:bCs/>
                <w:color w:val="auto"/>
                <w:kern w:val="0"/>
                <w:sz w:val="22"/>
                <w:szCs w:val="21"/>
                <w:highlight w:val="none"/>
              </w:rPr>
            </w:pPr>
            <w:r>
              <w:rPr>
                <w:rFonts w:ascii="宋体" w:hAnsi="宋体" w:eastAsia="宋体" w:cs="宋体"/>
                <w:b/>
                <w:bCs/>
                <w:color w:val="auto"/>
                <w:kern w:val="0"/>
                <w:sz w:val="22"/>
                <w:szCs w:val="21"/>
                <w:highlight w:val="none"/>
              </w:rPr>
              <w:t>明细</w:t>
            </w:r>
          </w:p>
        </w:tc>
        <w:tc>
          <w:tcPr>
            <w:tcW w:w="6988" w:type="dxa"/>
            <w:tcBorders>
              <w:top w:val="outset" w:color="auto" w:sz="6" w:space="0"/>
              <w:left w:val="outset" w:color="auto" w:sz="6" w:space="0"/>
              <w:bottom w:val="outset" w:color="auto" w:sz="6" w:space="0"/>
              <w:right w:val="outset" w:color="auto" w:sz="6" w:space="0"/>
            </w:tcBorders>
            <w:vAlign w:val="center"/>
          </w:tcPr>
          <w:p w14:paraId="29350810">
            <w:pPr>
              <w:widowControl/>
              <w:jc w:val="center"/>
              <w:rPr>
                <w:rFonts w:ascii="宋体" w:hAnsi="宋体" w:eastAsia="宋体" w:cs="宋体"/>
                <w:b/>
                <w:bCs/>
                <w:color w:val="auto"/>
                <w:kern w:val="0"/>
                <w:sz w:val="22"/>
                <w:szCs w:val="21"/>
                <w:highlight w:val="none"/>
              </w:rPr>
            </w:pPr>
            <w:r>
              <w:rPr>
                <w:rFonts w:ascii="宋体" w:hAnsi="宋体" w:eastAsia="宋体" w:cs="宋体"/>
                <w:b/>
                <w:bCs/>
                <w:color w:val="auto"/>
                <w:kern w:val="0"/>
                <w:sz w:val="22"/>
                <w:szCs w:val="21"/>
                <w:highlight w:val="none"/>
              </w:rPr>
              <w:t>描述</w:t>
            </w:r>
          </w:p>
        </w:tc>
      </w:tr>
      <w:tr w14:paraId="64EC40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1" w:hRule="atLeast"/>
          <w:tblCellSpacing w:w="0" w:type="dxa"/>
        </w:trPr>
        <w:tc>
          <w:tcPr>
            <w:tcW w:w="1922" w:type="dxa"/>
            <w:tcBorders>
              <w:top w:val="outset" w:color="auto" w:sz="6" w:space="0"/>
              <w:left w:val="outset" w:color="auto" w:sz="6" w:space="0"/>
              <w:bottom w:val="outset" w:color="auto" w:sz="6" w:space="0"/>
              <w:right w:val="outset" w:color="auto" w:sz="6" w:space="0"/>
            </w:tcBorders>
            <w:vAlign w:val="center"/>
          </w:tcPr>
          <w:p w14:paraId="3E965E0F">
            <w:pPr>
              <w:spacing w:line="440" w:lineRule="exact"/>
              <w:jc w:val="center"/>
              <w:rPr>
                <w:rFonts w:hint="eastAsia" w:ascii="宋体" w:hAnsi="宋体" w:eastAsia="宋体" w:cs="宋体"/>
                <w:b w:val="0"/>
                <w:bCs/>
                <w:color w:val="auto"/>
                <w:sz w:val="22"/>
                <w:szCs w:val="21"/>
                <w:highlight w:val="none"/>
                <w:lang w:eastAsia="zh-CN"/>
              </w:rPr>
            </w:pPr>
            <w:r>
              <w:rPr>
                <w:rFonts w:hint="eastAsia" w:ascii="宋体" w:hAnsi="宋体" w:eastAsia="宋体" w:cs="宋体"/>
                <w:b w:val="0"/>
                <w:bCs/>
                <w:color w:val="auto"/>
                <w:sz w:val="22"/>
                <w:szCs w:val="21"/>
                <w:highlight w:val="none"/>
                <w:lang w:val="en-US" w:eastAsia="zh-CN"/>
              </w:rPr>
              <w:t>相关证明材料1</w:t>
            </w:r>
          </w:p>
        </w:tc>
        <w:tc>
          <w:tcPr>
            <w:tcW w:w="6988" w:type="dxa"/>
            <w:tcBorders>
              <w:top w:val="outset" w:color="auto" w:sz="6" w:space="0"/>
              <w:left w:val="outset" w:color="auto" w:sz="6" w:space="0"/>
              <w:bottom w:val="outset" w:color="auto" w:sz="6" w:space="0"/>
              <w:right w:val="outset" w:color="auto" w:sz="6" w:space="0"/>
            </w:tcBorders>
            <w:vAlign w:val="center"/>
          </w:tcPr>
          <w:p w14:paraId="720FEA9C">
            <w:pPr>
              <w:widowControl w:val="0"/>
              <w:numPr>
                <w:ilvl w:val="0"/>
                <w:numId w:val="1"/>
              </w:numPr>
              <w:tabs>
                <w:tab w:val="left" w:pos="993"/>
              </w:tabs>
              <w:spacing w:line="360" w:lineRule="auto"/>
              <w:ind w:hanging="987" w:firstLineChars="0"/>
              <w:jc w:val="left"/>
              <w:rPr>
                <w:rFonts w:hint="eastAsia" w:ascii="宋体" w:hAnsi="宋体" w:eastAsia="宋体" w:cs="Times New Roman"/>
                <w:color w:val="auto"/>
                <w:kern w:val="2"/>
                <w:sz w:val="22"/>
                <w:szCs w:val="22"/>
                <w:lang w:val="en-US" w:eastAsia="zh-CN" w:bidi="ar-SA"/>
              </w:rPr>
            </w:pPr>
            <w:r>
              <w:rPr>
                <w:rFonts w:hint="eastAsia" w:ascii="宋体" w:hAnsi="宋体" w:eastAsia="宋体" w:cs="Times New Roman"/>
                <w:color w:val="auto"/>
                <w:kern w:val="2"/>
                <w:sz w:val="22"/>
                <w:szCs w:val="22"/>
                <w:lang w:val="en-US" w:eastAsia="zh-CN" w:bidi="ar-SA"/>
              </w:rPr>
              <w:t>供应商须提供加盖公章的有效营业执照副本复印件；</w:t>
            </w:r>
          </w:p>
          <w:p w14:paraId="12CFBBAF">
            <w:pPr>
              <w:widowControl w:val="0"/>
              <w:numPr>
                <w:ilvl w:val="0"/>
                <w:numId w:val="1"/>
              </w:numPr>
              <w:tabs>
                <w:tab w:val="left" w:pos="993"/>
              </w:tabs>
              <w:spacing w:line="360" w:lineRule="auto"/>
              <w:ind w:left="0" w:firstLine="425" w:firstLineChars="0"/>
              <w:jc w:val="left"/>
              <w:rPr>
                <w:rFonts w:ascii="宋体" w:hAnsi="宋体" w:eastAsia="宋体" w:cs="Times New Roman"/>
                <w:color w:val="auto"/>
                <w:kern w:val="2"/>
                <w:sz w:val="22"/>
                <w:szCs w:val="22"/>
                <w:lang w:val="en-US" w:eastAsia="zh-CN" w:bidi="ar-SA"/>
              </w:rPr>
            </w:pPr>
            <w:r>
              <w:rPr>
                <w:rFonts w:hint="eastAsia" w:ascii="宋体" w:hAnsi="宋体" w:eastAsia="宋体" w:cs="Times New Roman"/>
                <w:color w:val="auto"/>
                <w:kern w:val="2"/>
                <w:sz w:val="22"/>
                <w:szCs w:val="22"/>
                <w:lang w:val="en-US" w:eastAsia="zh-CN" w:bidi="ar-SA"/>
              </w:rPr>
              <w:t>供应商须提供参加采购活动前三年内在经营活动中没有重大违法记录书面声明。</w:t>
            </w:r>
          </w:p>
          <w:p w14:paraId="6F680399">
            <w:pPr>
              <w:widowControl w:val="0"/>
              <w:numPr>
                <w:ilvl w:val="0"/>
                <w:numId w:val="1"/>
              </w:numPr>
              <w:spacing w:line="360" w:lineRule="auto"/>
              <w:ind w:left="0" w:firstLine="425" w:firstLineChars="0"/>
              <w:jc w:val="left"/>
              <w:rPr>
                <w:rFonts w:ascii="宋体" w:hAnsi="宋体" w:eastAsia="宋体" w:cs="Times New Roman"/>
                <w:color w:val="auto"/>
                <w:kern w:val="2"/>
                <w:sz w:val="22"/>
                <w:szCs w:val="22"/>
                <w:lang w:val="en-US" w:eastAsia="zh-CN" w:bidi="ar-SA"/>
              </w:rPr>
            </w:pPr>
            <w:r>
              <w:rPr>
                <w:rFonts w:hint="eastAsia" w:ascii="宋体" w:hAnsi="宋体" w:eastAsia="宋体" w:cs="Times New Roman"/>
                <w:color w:val="auto"/>
                <w:kern w:val="2"/>
                <w:sz w:val="22"/>
                <w:szCs w:val="22"/>
                <w:lang w:val="en-US" w:eastAsia="zh-CN" w:bidi="ar-SA"/>
              </w:rPr>
              <w:t>供应商须在谈判文件要求的首次响应文件递交截止时点前分别通过“信用中国”网站（www.creditchina.gov.cn）、中国政府采购网（www.ccgp.gov.cn）获取的信用信息查询结果，信用信息查询结果应为从上述网站获取的查询结果原始页面的打印件或完整截图。</w:t>
            </w:r>
          </w:p>
          <w:p w14:paraId="2FE858C1">
            <w:pPr>
              <w:widowControl w:val="0"/>
              <w:numPr>
                <w:ilvl w:val="0"/>
                <w:numId w:val="1"/>
              </w:numPr>
              <w:tabs>
                <w:tab w:val="left" w:pos="993"/>
              </w:tabs>
              <w:spacing w:line="360" w:lineRule="auto"/>
              <w:ind w:left="0" w:firstLine="425" w:firstLineChars="0"/>
              <w:jc w:val="left"/>
              <w:rPr>
                <w:rFonts w:ascii="宋体" w:hAnsi="宋体" w:eastAsia="宋体" w:cs="Times New Roman"/>
                <w:color w:val="auto"/>
                <w:kern w:val="2"/>
                <w:sz w:val="22"/>
                <w:szCs w:val="22"/>
                <w:lang w:val="en-US" w:eastAsia="zh-CN" w:bidi="ar-SA"/>
              </w:rPr>
            </w:pPr>
            <w:r>
              <w:rPr>
                <w:rFonts w:ascii="宋体" w:hAnsi="宋体" w:eastAsia="宋体" w:cs="Times New Roman"/>
                <w:color w:val="auto"/>
                <w:kern w:val="2"/>
                <w:sz w:val="22"/>
                <w:szCs w:val="22"/>
                <w:lang w:val="en-US" w:eastAsia="zh-CN" w:bidi="ar-SA"/>
              </w:rPr>
              <w:t>单位负责人参加投标时需随身携带本人身份证原件及营业执照</w:t>
            </w:r>
            <w:r>
              <w:rPr>
                <w:rFonts w:hint="eastAsia" w:ascii="宋体" w:hAnsi="宋体" w:eastAsia="宋体" w:cs="Times New Roman"/>
                <w:color w:val="auto"/>
                <w:kern w:val="2"/>
                <w:sz w:val="22"/>
                <w:szCs w:val="22"/>
                <w:lang w:val="en-US" w:eastAsia="zh-CN" w:bidi="ar-SA"/>
              </w:rPr>
              <w:t>副本</w:t>
            </w:r>
            <w:r>
              <w:rPr>
                <w:rFonts w:ascii="宋体" w:hAnsi="宋体" w:eastAsia="宋体" w:cs="Times New Roman"/>
                <w:color w:val="auto"/>
                <w:kern w:val="2"/>
                <w:sz w:val="22"/>
                <w:szCs w:val="22"/>
                <w:lang w:val="en-US" w:eastAsia="zh-CN" w:bidi="ar-SA"/>
              </w:rPr>
              <w:t>复印件，授权代表参加投标时需随身携带本人身份证原件及单位负责人授权书（附单位负责人身份证复印件及被授权人身份证复印件）以便现场核查。</w:t>
            </w:r>
            <w:r>
              <w:rPr>
                <w:rFonts w:hint="eastAsia" w:ascii="宋体" w:hAnsi="宋体" w:eastAsia="宋体" w:cs="Times New Roman"/>
                <w:color w:val="auto"/>
                <w:kern w:val="2"/>
                <w:sz w:val="22"/>
                <w:szCs w:val="22"/>
                <w:lang w:val="en-US" w:eastAsia="zh-CN" w:bidi="ar-SA"/>
              </w:rPr>
              <w:t>（除在响应文件中提供外）</w:t>
            </w:r>
          </w:p>
          <w:p w14:paraId="01D4E4E4">
            <w:pPr>
              <w:widowControl w:val="0"/>
              <w:numPr>
                <w:ilvl w:val="0"/>
                <w:numId w:val="1"/>
              </w:numPr>
              <w:tabs>
                <w:tab w:val="left" w:pos="993"/>
              </w:tabs>
              <w:spacing w:line="360" w:lineRule="auto"/>
              <w:ind w:hanging="987" w:firstLineChars="0"/>
              <w:jc w:val="left"/>
              <w:rPr>
                <w:rFonts w:hint="eastAsia" w:ascii="宋体" w:hAnsi="宋体" w:eastAsia="宋体" w:cs="宋体"/>
                <w:b w:val="0"/>
                <w:bCs/>
                <w:color w:val="auto"/>
                <w:kern w:val="2"/>
                <w:sz w:val="22"/>
                <w:szCs w:val="21"/>
                <w:highlight w:val="none"/>
                <w:lang w:val="en-US" w:eastAsia="zh-CN" w:bidi="ar-SA"/>
              </w:rPr>
            </w:pPr>
            <w:r>
              <w:rPr>
                <w:rFonts w:hint="eastAsia" w:ascii="宋体" w:hAnsi="宋体" w:eastAsia="宋体" w:cs="Times New Roman"/>
                <w:color w:val="auto"/>
                <w:kern w:val="2"/>
                <w:sz w:val="22"/>
                <w:szCs w:val="22"/>
                <w:lang w:val="en-US" w:eastAsia="zh-CN" w:bidi="ar-SA"/>
              </w:rPr>
              <w:t>不</w:t>
            </w:r>
            <w:r>
              <w:rPr>
                <w:rFonts w:ascii="宋体" w:hAnsi="宋体" w:eastAsia="宋体" w:cs="Times New Roman"/>
                <w:color w:val="auto"/>
                <w:kern w:val="2"/>
                <w:sz w:val="22"/>
                <w:szCs w:val="22"/>
                <w:lang w:val="en-US" w:eastAsia="zh-CN" w:bidi="ar-SA"/>
              </w:rPr>
              <w:t>接受联合体形式的响应谈判</w:t>
            </w:r>
            <w:r>
              <w:rPr>
                <w:rFonts w:hint="eastAsia" w:ascii="宋体" w:hAnsi="宋体" w:eastAsia="宋体" w:cs="Times New Roman"/>
                <w:color w:val="auto"/>
                <w:kern w:val="2"/>
                <w:sz w:val="22"/>
                <w:szCs w:val="22"/>
                <w:lang w:val="en-US" w:eastAsia="zh-CN" w:bidi="ar-SA"/>
              </w:rPr>
              <w:t>。</w:t>
            </w:r>
          </w:p>
        </w:tc>
      </w:tr>
      <w:tr w14:paraId="5576B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1" w:hRule="atLeast"/>
          <w:tblCellSpacing w:w="0" w:type="dxa"/>
        </w:trPr>
        <w:tc>
          <w:tcPr>
            <w:tcW w:w="1922" w:type="dxa"/>
            <w:tcBorders>
              <w:top w:val="outset" w:color="auto" w:sz="6" w:space="0"/>
              <w:left w:val="outset" w:color="auto" w:sz="6" w:space="0"/>
              <w:bottom w:val="outset" w:color="auto" w:sz="6" w:space="0"/>
              <w:right w:val="outset" w:color="auto" w:sz="6" w:space="0"/>
            </w:tcBorders>
            <w:vAlign w:val="center"/>
          </w:tcPr>
          <w:p w14:paraId="1766DE9B">
            <w:pPr>
              <w:spacing w:line="440" w:lineRule="exact"/>
              <w:jc w:val="center"/>
              <w:rPr>
                <w:rFonts w:hint="default" w:ascii="宋体" w:hAnsi="宋体" w:eastAsia="宋体" w:cs="宋体"/>
                <w:b w:val="0"/>
                <w:bCs/>
                <w:color w:val="auto"/>
                <w:sz w:val="22"/>
                <w:szCs w:val="21"/>
                <w:highlight w:val="none"/>
                <w:lang w:val="en-US" w:eastAsia="zh-CN"/>
              </w:rPr>
            </w:pPr>
            <w:r>
              <w:rPr>
                <w:rFonts w:hint="eastAsia" w:ascii="宋体" w:hAnsi="宋体" w:eastAsia="宋体" w:cs="宋体"/>
                <w:b w:val="0"/>
                <w:bCs/>
                <w:color w:val="auto"/>
                <w:sz w:val="22"/>
                <w:szCs w:val="21"/>
                <w:highlight w:val="none"/>
                <w:lang w:val="en-US" w:eastAsia="zh-CN"/>
              </w:rPr>
              <w:t>资格承诺函</w:t>
            </w:r>
          </w:p>
        </w:tc>
        <w:tc>
          <w:tcPr>
            <w:tcW w:w="6988" w:type="dxa"/>
            <w:tcBorders>
              <w:top w:val="outset" w:color="auto" w:sz="6" w:space="0"/>
              <w:left w:val="outset" w:color="auto" w:sz="6" w:space="0"/>
              <w:bottom w:val="outset" w:color="auto" w:sz="6" w:space="0"/>
              <w:right w:val="outset" w:color="auto" w:sz="6" w:space="0"/>
            </w:tcBorders>
            <w:vAlign w:val="center"/>
          </w:tcPr>
          <w:p w14:paraId="06043435">
            <w:pPr>
              <w:widowControl w:val="0"/>
              <w:numPr>
                <w:ilvl w:val="0"/>
                <w:numId w:val="1"/>
              </w:numPr>
              <w:tabs>
                <w:tab w:val="left" w:pos="993"/>
              </w:tabs>
              <w:spacing w:line="360" w:lineRule="auto"/>
              <w:ind w:hanging="987" w:firstLineChars="0"/>
              <w:jc w:val="left"/>
              <w:rPr>
                <w:rFonts w:hint="eastAsia" w:ascii="宋体" w:hAnsi="宋体" w:eastAsia="宋体" w:cs="Times New Roman"/>
                <w:color w:val="auto"/>
                <w:kern w:val="2"/>
                <w:sz w:val="22"/>
                <w:szCs w:val="22"/>
                <w:lang w:val="en-US" w:eastAsia="zh-CN" w:bidi="ar-SA"/>
              </w:rPr>
            </w:pPr>
            <w:r>
              <w:rPr>
                <w:rFonts w:hint="eastAsia" w:ascii="宋体" w:hAnsi="宋体" w:eastAsia="宋体" w:cs="Times New Roman"/>
                <w:color w:val="auto"/>
                <w:kern w:val="2"/>
                <w:sz w:val="22"/>
                <w:szCs w:val="22"/>
                <w:lang w:val="en-US" w:eastAsia="zh-CN" w:bidi="ar-S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证明文件，按资格审查不合格处理。②采购项目有特殊资格要求的，供应商还应按要求提供相应的证明材料。</w:t>
            </w:r>
          </w:p>
        </w:tc>
      </w:tr>
    </w:tbl>
    <w:p w14:paraId="083AB25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w:t>
      </w:r>
      <w:r>
        <w:rPr>
          <w:rFonts w:ascii="宋体" w:hAnsi="宋体" w:eastAsia="宋体" w:cs="Times New Roman"/>
          <w:color w:val="auto"/>
          <w:sz w:val="24"/>
          <w:szCs w:val="24"/>
        </w:rPr>
        <w:t>、报名</w:t>
      </w:r>
    </w:p>
    <w:p w14:paraId="109ABBD0">
      <w:pPr>
        <w:spacing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color w:val="auto"/>
          <w:sz w:val="24"/>
          <w:szCs w:val="24"/>
        </w:rPr>
        <w:t>4</w:t>
      </w:r>
      <w:r>
        <w:rPr>
          <w:rFonts w:ascii="宋体" w:hAnsi="宋体" w:eastAsia="宋体" w:cs="Times New Roman"/>
          <w:color w:val="auto"/>
          <w:sz w:val="24"/>
          <w:szCs w:val="24"/>
        </w:rPr>
        <w:t>.1</w:t>
      </w:r>
      <w:r>
        <w:rPr>
          <w:rFonts w:hint="eastAsia" w:ascii="宋体" w:hAnsi="宋体" w:eastAsia="宋体" w:cs="Times New Roman"/>
          <w:color w:val="auto"/>
          <w:sz w:val="24"/>
          <w:szCs w:val="24"/>
        </w:rPr>
        <w:t>谈判文件发售时间及报名时间</w:t>
      </w:r>
      <w:r>
        <w:rPr>
          <w:rFonts w:ascii="宋体" w:hAnsi="宋体" w:eastAsia="宋体" w:cs="Times New Roman"/>
          <w:color w:val="auto"/>
          <w:sz w:val="24"/>
          <w:szCs w:val="24"/>
        </w:rPr>
        <w:t>：</w:t>
      </w:r>
      <w:r>
        <w:rPr>
          <w:rFonts w:hint="eastAsia" w:ascii="宋体" w:hAnsi="宋体" w:eastAsia="宋体" w:cs="Times New Roman"/>
          <w:b/>
          <w:color w:val="auto"/>
          <w:sz w:val="24"/>
          <w:szCs w:val="24"/>
        </w:rPr>
        <w:t>从202</w:t>
      </w:r>
      <w:r>
        <w:rPr>
          <w:rFonts w:hint="eastAsia" w:ascii="宋体" w:hAnsi="宋体" w:eastAsia="宋体" w:cs="Times New Roman"/>
          <w:b/>
          <w:color w:val="auto"/>
          <w:sz w:val="24"/>
          <w:szCs w:val="24"/>
          <w:lang w:val="en-US" w:eastAsia="zh-CN"/>
        </w:rPr>
        <w:t>5</w:t>
      </w:r>
      <w:r>
        <w:rPr>
          <w:rFonts w:hint="eastAsia" w:ascii="宋体" w:hAnsi="宋体" w:eastAsia="宋体" w:cs="Times New Roman"/>
          <w:b/>
          <w:color w:val="auto"/>
          <w:sz w:val="24"/>
          <w:szCs w:val="24"/>
        </w:rPr>
        <w:t>年</w:t>
      </w:r>
      <w:r>
        <w:rPr>
          <w:rFonts w:hint="eastAsia" w:ascii="宋体" w:hAnsi="宋体" w:eastAsia="宋体" w:cs="Times New Roman"/>
          <w:b/>
          <w:color w:val="auto"/>
          <w:sz w:val="24"/>
          <w:szCs w:val="24"/>
          <w:lang w:val="en-US" w:eastAsia="zh-CN"/>
        </w:rPr>
        <w:t>11</w:t>
      </w:r>
      <w:r>
        <w:rPr>
          <w:rFonts w:hint="eastAsia" w:ascii="宋体" w:hAnsi="宋体" w:eastAsia="宋体" w:cs="Times New Roman"/>
          <w:b/>
          <w:color w:val="auto"/>
          <w:sz w:val="24"/>
          <w:szCs w:val="24"/>
        </w:rPr>
        <w:t>月</w:t>
      </w:r>
      <w:r>
        <w:rPr>
          <w:rFonts w:hint="eastAsia" w:ascii="宋体" w:hAnsi="宋体" w:eastAsia="宋体" w:cs="Times New Roman"/>
          <w:b/>
          <w:color w:val="auto"/>
          <w:sz w:val="24"/>
          <w:szCs w:val="24"/>
          <w:lang w:val="en-US" w:eastAsia="zh-CN"/>
        </w:rPr>
        <w:t>21</w:t>
      </w:r>
      <w:r>
        <w:rPr>
          <w:rFonts w:hint="eastAsia" w:ascii="宋体" w:hAnsi="宋体" w:eastAsia="宋体" w:cs="Times New Roman"/>
          <w:b/>
          <w:color w:val="auto"/>
          <w:sz w:val="24"/>
          <w:szCs w:val="24"/>
        </w:rPr>
        <w:t>日至202</w:t>
      </w:r>
      <w:r>
        <w:rPr>
          <w:rFonts w:hint="eastAsia" w:ascii="宋体" w:hAnsi="宋体" w:eastAsia="宋体" w:cs="Times New Roman"/>
          <w:b/>
          <w:color w:val="auto"/>
          <w:sz w:val="24"/>
          <w:szCs w:val="24"/>
          <w:lang w:val="en-US" w:eastAsia="zh-CN"/>
        </w:rPr>
        <w:t>5</w:t>
      </w:r>
      <w:r>
        <w:rPr>
          <w:rFonts w:hint="eastAsia" w:ascii="宋体" w:hAnsi="宋体" w:eastAsia="宋体" w:cs="Times New Roman"/>
          <w:b/>
          <w:color w:val="auto"/>
          <w:sz w:val="24"/>
          <w:szCs w:val="24"/>
        </w:rPr>
        <w:t>年</w:t>
      </w:r>
      <w:r>
        <w:rPr>
          <w:rFonts w:hint="eastAsia" w:ascii="宋体" w:hAnsi="宋体" w:eastAsia="宋体" w:cs="Times New Roman"/>
          <w:b/>
          <w:color w:val="auto"/>
          <w:sz w:val="24"/>
          <w:szCs w:val="24"/>
          <w:lang w:val="en-US" w:eastAsia="zh-CN"/>
        </w:rPr>
        <w:t>11</w:t>
      </w:r>
      <w:r>
        <w:rPr>
          <w:rFonts w:hint="eastAsia" w:ascii="宋体" w:hAnsi="宋体" w:eastAsia="宋体" w:cs="Times New Roman"/>
          <w:b/>
          <w:color w:val="auto"/>
          <w:sz w:val="24"/>
          <w:szCs w:val="24"/>
        </w:rPr>
        <w:t>月</w:t>
      </w:r>
      <w:r>
        <w:rPr>
          <w:rFonts w:hint="eastAsia" w:ascii="宋体" w:hAnsi="宋体" w:eastAsia="宋体" w:cs="Times New Roman"/>
          <w:b/>
          <w:color w:val="auto"/>
          <w:sz w:val="24"/>
          <w:szCs w:val="24"/>
          <w:lang w:val="en-US" w:eastAsia="zh-CN"/>
        </w:rPr>
        <w:t>28</w:t>
      </w:r>
      <w:r>
        <w:rPr>
          <w:rFonts w:hint="eastAsia" w:ascii="宋体" w:hAnsi="宋体" w:eastAsia="宋体" w:cs="Times New Roman"/>
          <w:b/>
          <w:color w:val="auto"/>
          <w:sz w:val="24"/>
          <w:szCs w:val="24"/>
        </w:rPr>
        <w:t>日（节假日除外）08：00至12：00，14：30至17：30（北京时间）。</w:t>
      </w:r>
    </w:p>
    <w:p w14:paraId="37A45AE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w:t>
      </w:r>
      <w:r>
        <w:rPr>
          <w:rFonts w:ascii="宋体" w:hAnsi="宋体" w:eastAsia="宋体" w:cs="Times New Roman"/>
          <w:color w:val="auto"/>
          <w:sz w:val="24"/>
          <w:szCs w:val="24"/>
        </w:rPr>
        <w:t>.2</w:t>
      </w:r>
      <w:r>
        <w:rPr>
          <w:rFonts w:hint="eastAsia" w:ascii="宋体" w:hAnsi="宋体" w:eastAsia="宋体" w:cs="Times New Roman"/>
          <w:color w:val="auto"/>
          <w:sz w:val="24"/>
          <w:szCs w:val="24"/>
        </w:rPr>
        <w:t>谈判文件纸质版或电子文档售价：每套300元人民币。纸质谈判文件与电子谈判文件具有同等法律效力，谈判文件售后不退。逾期未购买谈判文件的供应商视为放弃投标。</w:t>
      </w:r>
    </w:p>
    <w:p w14:paraId="706D2662">
      <w:pPr>
        <w:numPr>
          <w:ilvl w:val="0"/>
          <w:numId w:val="2"/>
        </w:num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提交响应文件截止时间、地点：</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b/>
          <w:color w:val="auto"/>
          <w:sz w:val="24"/>
          <w:szCs w:val="24"/>
        </w:rPr>
        <w:t>202</w:t>
      </w:r>
      <w:r>
        <w:rPr>
          <w:rFonts w:hint="eastAsia" w:ascii="宋体" w:hAnsi="宋体" w:eastAsia="宋体" w:cs="Times New Roman"/>
          <w:b/>
          <w:color w:val="auto"/>
          <w:sz w:val="24"/>
          <w:szCs w:val="24"/>
          <w:lang w:val="en-US" w:eastAsia="zh-CN"/>
        </w:rPr>
        <w:t>5</w:t>
      </w:r>
      <w:r>
        <w:rPr>
          <w:rFonts w:hint="eastAsia" w:ascii="宋体" w:hAnsi="宋体" w:eastAsia="宋体" w:cs="Times New Roman"/>
          <w:b/>
          <w:color w:val="auto"/>
          <w:sz w:val="24"/>
          <w:szCs w:val="24"/>
        </w:rPr>
        <w:t>年</w:t>
      </w:r>
      <w:r>
        <w:rPr>
          <w:rFonts w:hint="eastAsia" w:ascii="宋体" w:hAnsi="宋体" w:eastAsia="宋体" w:cs="Times New Roman"/>
          <w:b/>
          <w:color w:val="auto"/>
          <w:sz w:val="24"/>
          <w:szCs w:val="24"/>
          <w:lang w:val="en-US" w:eastAsia="zh-CN"/>
        </w:rPr>
        <w:t>12</w:t>
      </w:r>
      <w:r>
        <w:rPr>
          <w:rFonts w:hint="eastAsia" w:ascii="宋体" w:hAnsi="宋体" w:eastAsia="宋体" w:cs="Times New Roman"/>
          <w:b/>
          <w:color w:val="auto"/>
          <w:sz w:val="24"/>
          <w:szCs w:val="24"/>
        </w:rPr>
        <w:t>月</w:t>
      </w:r>
      <w:r>
        <w:rPr>
          <w:rFonts w:hint="eastAsia" w:ascii="宋体" w:hAnsi="宋体" w:eastAsia="宋体" w:cs="Times New Roman"/>
          <w:b/>
          <w:color w:val="auto"/>
          <w:sz w:val="24"/>
          <w:szCs w:val="24"/>
          <w:lang w:val="en-US" w:eastAsia="zh-CN"/>
        </w:rPr>
        <w:t>11</w:t>
      </w:r>
      <w:r>
        <w:rPr>
          <w:rFonts w:hint="eastAsia" w:ascii="宋体" w:hAnsi="宋体" w:eastAsia="宋体" w:cs="Times New Roman"/>
          <w:b/>
          <w:color w:val="auto"/>
          <w:sz w:val="24"/>
          <w:szCs w:val="24"/>
        </w:rPr>
        <w:t>日</w:t>
      </w:r>
      <w:r>
        <w:rPr>
          <w:rFonts w:hint="eastAsia" w:ascii="宋体" w:hAnsi="宋体" w:eastAsia="宋体" w:cs="Times New Roman"/>
          <w:b/>
          <w:color w:val="auto"/>
          <w:sz w:val="24"/>
          <w:szCs w:val="24"/>
          <w:lang w:val="en-US" w:eastAsia="zh-CN"/>
        </w:rPr>
        <w:t>09</w:t>
      </w:r>
      <w:r>
        <w:rPr>
          <w:rFonts w:hint="eastAsia" w:ascii="宋体" w:hAnsi="宋体" w:eastAsia="宋体" w:cs="Times New Roman"/>
          <w:b/>
          <w:color w:val="auto"/>
          <w:sz w:val="24"/>
          <w:szCs w:val="24"/>
        </w:rPr>
        <w:t>:</w:t>
      </w:r>
      <w:r>
        <w:rPr>
          <w:rFonts w:hint="eastAsia" w:ascii="宋体" w:hAnsi="宋体" w:eastAsia="宋体" w:cs="Times New Roman"/>
          <w:b/>
          <w:color w:val="auto"/>
          <w:sz w:val="24"/>
          <w:szCs w:val="24"/>
          <w:lang w:val="en-US" w:eastAsia="zh-CN"/>
        </w:rPr>
        <w:t>30</w:t>
      </w:r>
      <w:r>
        <w:rPr>
          <w:rFonts w:hint="eastAsia" w:ascii="宋体" w:hAnsi="宋体" w:eastAsia="宋体" w:cs="Times New Roman"/>
          <w:b/>
          <w:color w:val="auto"/>
          <w:sz w:val="24"/>
          <w:szCs w:val="24"/>
        </w:rPr>
        <w:t xml:space="preserve"> (北京时间）</w:t>
      </w:r>
      <w:r>
        <w:rPr>
          <w:rFonts w:hint="eastAsia" w:ascii="宋体" w:hAnsi="宋体" w:eastAsia="宋体" w:cs="Times New Roman"/>
          <w:color w:val="auto"/>
          <w:sz w:val="24"/>
          <w:szCs w:val="24"/>
          <w:lang w:eastAsia="zh-CN"/>
        </w:rPr>
        <w:t>福建智祺工程管理有限公司</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福建省三明市沙县区麻公岭花园22幢101室</w:t>
      </w:r>
      <w:r>
        <w:rPr>
          <w:rFonts w:hint="eastAsia" w:ascii="宋体" w:hAnsi="宋体" w:eastAsia="宋体" w:cs="Times New Roman"/>
          <w:color w:val="auto"/>
          <w:sz w:val="24"/>
          <w:szCs w:val="24"/>
        </w:rPr>
        <w:t>）开标室</w:t>
      </w:r>
      <w:r>
        <w:rPr>
          <w:rFonts w:ascii="宋体" w:hAnsi="宋体" w:eastAsia="宋体" w:cs="Times New Roman"/>
          <w:color w:val="auto"/>
          <w:sz w:val="24"/>
          <w:szCs w:val="24"/>
        </w:rPr>
        <w:t>。</w:t>
      </w:r>
    </w:p>
    <w:p w14:paraId="03766382">
      <w:pPr>
        <w:widowControl w:val="0"/>
        <w:numPr>
          <w:ilvl w:val="0"/>
          <w:numId w:val="0"/>
        </w:numPr>
        <w:ind w:firstLine="480" w:firstLineChars="200"/>
        <w:jc w:val="left"/>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6、信息公告：沙县农商银行（http://www.fjnx.com.cn/sxnsh/index/index.html）</w:t>
      </w:r>
    </w:p>
    <w:p w14:paraId="14E9BCC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7</w:t>
      </w:r>
      <w:r>
        <w:rPr>
          <w:rFonts w:ascii="宋体" w:hAnsi="宋体" w:eastAsia="宋体" w:cs="Times New Roman"/>
          <w:color w:val="auto"/>
          <w:sz w:val="24"/>
          <w:szCs w:val="24"/>
        </w:rPr>
        <w:t>、</w:t>
      </w:r>
      <w:r>
        <w:rPr>
          <w:rFonts w:hint="eastAsia" w:ascii="宋体" w:hAnsi="宋体" w:eastAsia="宋体" w:cs="Times New Roman"/>
          <w:color w:val="auto"/>
          <w:sz w:val="24"/>
          <w:szCs w:val="24"/>
        </w:rPr>
        <w:t>供应商对本次招标活动事项提出疑问的，请在投标截止时间日之前，与招标代理机构联系。</w:t>
      </w:r>
    </w:p>
    <w:p w14:paraId="4F0E751A">
      <w:pPr>
        <w:spacing w:line="360" w:lineRule="auto"/>
        <w:ind w:firstLine="424" w:firstLineChars="177"/>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8</w:t>
      </w:r>
      <w:r>
        <w:rPr>
          <w:rFonts w:ascii="宋体" w:hAnsi="宋体" w:eastAsia="宋体" w:cs="Times New Roman"/>
          <w:color w:val="auto"/>
          <w:sz w:val="24"/>
          <w:szCs w:val="24"/>
        </w:rPr>
        <w:t>、联系方式：</w:t>
      </w:r>
    </w:p>
    <w:p w14:paraId="7FA8C3B2">
      <w:pPr>
        <w:widowControl w:val="0"/>
        <w:snapToGrid w:val="0"/>
        <w:spacing w:line="360" w:lineRule="auto"/>
        <w:ind w:firstLine="480" w:firstLineChars="200"/>
        <w:jc w:val="both"/>
        <w:rPr>
          <w:rFonts w:hint="default"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采购人：福建沙县农村商业银行股份有限公司</w:t>
      </w:r>
    </w:p>
    <w:p w14:paraId="2A96AB19">
      <w:pPr>
        <w:snapToGrid w:val="0"/>
        <w:spacing w:line="360" w:lineRule="auto"/>
        <w:ind w:firstLine="480" w:firstLineChars="200"/>
        <w:rPr>
          <w:rFonts w:hint="eastAsia" w:ascii="宋体" w:hAnsi="宋体" w:eastAsia="宋体" w:cs="宋体"/>
          <w:sz w:val="24"/>
          <w:szCs w:val="22"/>
          <w:u w:val="none"/>
          <w:lang w:val="en-US" w:eastAsia="zh-CN"/>
        </w:rPr>
      </w:pPr>
      <w:r>
        <w:rPr>
          <w:rFonts w:hint="eastAsia" w:ascii="宋体" w:hAnsi="宋体" w:eastAsia="宋体" w:cs="宋体"/>
          <w:bCs/>
          <w:sz w:val="24"/>
          <w:szCs w:val="22"/>
          <w:u w:val="none"/>
        </w:rPr>
        <w:t>地  址：</w:t>
      </w:r>
      <w:r>
        <w:rPr>
          <w:rFonts w:hint="eastAsia" w:ascii="宋体" w:hAnsi="宋体" w:eastAsia="宋体" w:cs="宋体"/>
          <w:sz w:val="24"/>
          <w:szCs w:val="22"/>
          <w:u w:val="none"/>
        </w:rPr>
        <w:t>福建省</w:t>
      </w:r>
      <w:r>
        <w:rPr>
          <w:rFonts w:hint="eastAsia" w:ascii="宋体" w:hAnsi="宋体" w:eastAsia="宋体" w:cs="宋体"/>
          <w:sz w:val="24"/>
          <w:szCs w:val="22"/>
          <w:u w:val="none"/>
          <w:lang w:val="en-US" w:eastAsia="zh-CN"/>
        </w:rPr>
        <w:t>沙县区</w:t>
      </w:r>
    </w:p>
    <w:p w14:paraId="323B5CFF">
      <w:pPr>
        <w:snapToGrid w:val="0"/>
        <w:spacing w:before="120" w:after="120" w:line="360" w:lineRule="auto"/>
        <w:ind w:firstLine="480" w:firstLineChars="200"/>
        <w:rPr>
          <w:rFonts w:hint="default" w:ascii="Calibri" w:hAnsi="Calibri" w:eastAsia="宋体" w:cs="Times New Roman"/>
          <w:szCs w:val="22"/>
          <w:u w:val="none"/>
          <w:lang w:val="en-US" w:eastAsia="zh-CN"/>
        </w:rPr>
      </w:pPr>
      <w:r>
        <w:rPr>
          <w:rFonts w:hint="eastAsia" w:ascii="宋体" w:hAnsi="宋体" w:eastAsia="宋体" w:cs="宋体"/>
          <w:sz w:val="24"/>
          <w:szCs w:val="24"/>
          <w:highlight w:val="none"/>
          <w:u w:val="none"/>
        </w:rPr>
        <w:t>电话：</w:t>
      </w:r>
      <w:r>
        <w:rPr>
          <w:rFonts w:hint="eastAsia" w:ascii="宋体" w:hAnsi="宋体" w:eastAsia="宋体" w:cs="宋体"/>
          <w:sz w:val="24"/>
          <w:szCs w:val="24"/>
          <w:highlight w:val="none"/>
          <w:u w:val="none"/>
          <w:lang w:val="en-US" w:eastAsia="zh-CN"/>
        </w:rPr>
        <w:t>0598-5845460</w:t>
      </w:r>
    </w:p>
    <w:p w14:paraId="6A12A528">
      <w:pPr>
        <w:snapToGrid w:val="0"/>
        <w:spacing w:line="360" w:lineRule="auto"/>
        <w:ind w:firstLine="480" w:firstLineChars="200"/>
        <w:rPr>
          <w:rFonts w:hint="default" w:ascii="宋体" w:hAnsi="宋体" w:eastAsia="宋体" w:cs="宋体"/>
          <w:sz w:val="24"/>
          <w:szCs w:val="22"/>
          <w:u w:val="single"/>
          <w:lang w:val="en-US" w:eastAsia="zh-CN"/>
        </w:rPr>
      </w:pPr>
      <w:r>
        <w:rPr>
          <w:rFonts w:hint="eastAsia" w:ascii="宋体" w:hAnsi="宋体" w:eastAsia="宋体" w:cs="宋体"/>
          <w:sz w:val="24"/>
          <w:szCs w:val="22"/>
        </w:rPr>
        <w:t>联系人</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黄先生</w:t>
      </w:r>
    </w:p>
    <w:p w14:paraId="7CDFB8BC">
      <w:pPr>
        <w:spacing w:line="500" w:lineRule="exact"/>
        <w:ind w:left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招标代理机构：</w:t>
      </w:r>
      <w:r>
        <w:rPr>
          <w:rFonts w:hint="eastAsia" w:ascii="宋体" w:hAnsi="宋体" w:eastAsia="宋体" w:cs="Times New Roman"/>
          <w:color w:val="auto"/>
          <w:sz w:val="24"/>
          <w:szCs w:val="24"/>
          <w:lang w:eastAsia="zh-CN"/>
        </w:rPr>
        <w:t>福建智祺工程管理有限公司</w:t>
      </w:r>
    </w:p>
    <w:p w14:paraId="202DED0D">
      <w:pPr>
        <w:spacing w:line="500" w:lineRule="exact"/>
        <w:ind w:left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地址：</w:t>
      </w:r>
      <w:r>
        <w:rPr>
          <w:rFonts w:hint="eastAsia" w:ascii="宋体" w:hAnsi="宋体" w:eastAsia="宋体" w:cs="Times New Roman"/>
          <w:color w:val="auto"/>
          <w:sz w:val="24"/>
          <w:szCs w:val="24"/>
          <w:lang w:eastAsia="zh-CN"/>
        </w:rPr>
        <w:t>福建省三明市沙县区麻公岭花园22幢101室</w:t>
      </w:r>
    </w:p>
    <w:p w14:paraId="1837C84A">
      <w:pPr>
        <w:spacing w:line="500" w:lineRule="exact"/>
        <w:ind w:left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18359603011</w:t>
      </w:r>
    </w:p>
    <w:p w14:paraId="262E5B07">
      <w:pPr>
        <w:spacing w:line="500" w:lineRule="exact"/>
        <w:ind w:leftChars="200"/>
        <w:rPr>
          <w:rFonts w:ascii="宋体" w:hAnsi="宋体" w:eastAsia="宋体" w:cs="Times New Roman"/>
          <w:color w:val="auto"/>
          <w:sz w:val="24"/>
          <w:szCs w:val="24"/>
        </w:rPr>
      </w:pPr>
      <w:r>
        <w:rPr>
          <w:rFonts w:hint="eastAsia" w:ascii="宋体" w:hAnsi="宋体" w:eastAsia="宋体" w:cs="Times New Roman"/>
          <w:color w:val="auto"/>
          <w:sz w:val="24"/>
          <w:szCs w:val="24"/>
        </w:rPr>
        <w:t>联系人：</w:t>
      </w:r>
      <w:r>
        <w:rPr>
          <w:rFonts w:hint="eastAsia" w:ascii="宋体" w:hAnsi="宋体" w:eastAsia="宋体" w:cs="Times New Roman"/>
          <w:color w:val="auto"/>
          <w:sz w:val="24"/>
          <w:szCs w:val="24"/>
          <w:lang w:val="en-US" w:eastAsia="zh-CN"/>
        </w:rPr>
        <w:t>郑工</w:t>
      </w:r>
      <w:r>
        <w:rPr>
          <w:rFonts w:ascii="宋体" w:hAnsi="宋体" w:eastAsia="宋体" w:cs="Times New Roman"/>
          <w:color w:val="auto"/>
          <w:sz w:val="24"/>
          <w:szCs w:val="24"/>
        </w:rPr>
        <w:t> </w:t>
      </w:r>
    </w:p>
    <w:p w14:paraId="2240695F">
      <w:pPr>
        <w:widowControl/>
        <w:spacing w:before="75" w:beforeAutospacing="0" w:after="75" w:afterAutospacing="0" w:line="435" w:lineRule="atLeast"/>
        <w:jc w:val="left"/>
        <w:rPr>
          <w:rFonts w:hint="eastAsia" w:ascii="宋体" w:hAnsi="宋体" w:eastAsia="宋体" w:cs="Times New Roman"/>
          <w:color w:val="auto"/>
          <w:kern w:val="0"/>
          <w:sz w:val="22"/>
          <w:szCs w:val="22"/>
          <w:lang w:val="en-US" w:eastAsia="zh-CN" w:bidi="ar-SA"/>
        </w:rPr>
      </w:pPr>
      <w:r>
        <w:rPr>
          <w:rFonts w:hint="eastAsia" w:ascii="宋体" w:hAnsi="宋体" w:eastAsia="宋体" w:cs="Times New Roman"/>
          <w:color w:val="auto"/>
          <w:kern w:val="0"/>
          <w:sz w:val="22"/>
          <w:szCs w:val="22"/>
          <w:lang w:val="en-US" w:eastAsia="zh-CN" w:bidi="ar-SA"/>
        </w:rPr>
        <w:t>附1：提交谈判保证金的方式</w:t>
      </w:r>
    </w:p>
    <w:tbl>
      <w:tblPr>
        <w:tblStyle w:val="2"/>
        <w:tblpPr w:leftFromText="180" w:rightFromText="180" w:vertAnchor="text" w:horzAnchor="page" w:tblpX="1238"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704"/>
      </w:tblGrid>
      <w:tr w14:paraId="4682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8" w:type="dxa"/>
            <w:noWrap/>
            <w:vAlign w:val="center"/>
          </w:tcPr>
          <w:p w14:paraId="193E98C7">
            <w:pPr>
              <w:keepNext w:val="0"/>
              <w:keepLines w:val="0"/>
              <w:pageBreakBefore w:val="0"/>
              <w:widowControl/>
              <w:kinsoku/>
              <w:wordWrap/>
              <w:overflowPunct/>
              <w:topLinePunct w:val="0"/>
              <w:autoSpaceDE/>
              <w:autoSpaceDN/>
              <w:bidi w:val="0"/>
              <w:adjustRightInd/>
              <w:snapToGrid/>
              <w:spacing w:before="75" w:after="75" w:line="288" w:lineRule="auto"/>
              <w:ind w:firstLine="0" w:firstLineChars="0"/>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8580" w:type="dxa"/>
            <w:noWrap/>
            <w:vAlign w:val="center"/>
          </w:tcPr>
          <w:p w14:paraId="70B7CDAB">
            <w:pPr>
              <w:keepNext w:val="0"/>
              <w:keepLines w:val="0"/>
              <w:pageBreakBefore w:val="0"/>
              <w:widowControl/>
              <w:kinsoku/>
              <w:wordWrap/>
              <w:overflowPunct/>
              <w:topLinePunct w:val="0"/>
              <w:autoSpaceDE/>
              <w:autoSpaceDN/>
              <w:bidi w:val="0"/>
              <w:adjustRightInd/>
              <w:snapToGrid/>
              <w:spacing w:before="75" w:after="75" w:line="288" w:lineRule="auto"/>
              <w:ind w:firstLine="0" w:firstLineChars="0"/>
              <w:jc w:val="both"/>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谈判</w:t>
            </w:r>
            <w:r>
              <w:rPr>
                <w:rFonts w:hint="eastAsia" w:ascii="宋体" w:hAnsi="宋体" w:eastAsia="宋体" w:cs="宋体"/>
                <w:color w:val="auto"/>
                <w:kern w:val="0"/>
                <w:sz w:val="24"/>
                <w:szCs w:val="24"/>
              </w:rPr>
              <w:t>保证金提交的金额：人民币</w:t>
            </w:r>
            <w:r>
              <w:rPr>
                <w:rFonts w:hint="eastAsia" w:ascii="宋体" w:hAnsi="宋体" w:eastAsia="宋体" w:cs="宋体"/>
                <w:color w:val="auto"/>
                <w:kern w:val="0"/>
                <w:sz w:val="24"/>
                <w:szCs w:val="24"/>
                <w:lang w:val="en-US" w:eastAsia="zh-CN"/>
              </w:rPr>
              <w:t>7500</w:t>
            </w:r>
            <w:r>
              <w:rPr>
                <w:rFonts w:hint="eastAsia" w:ascii="宋体" w:hAnsi="宋体" w:eastAsia="宋体" w:cs="宋体"/>
                <w:color w:val="auto"/>
                <w:kern w:val="0"/>
                <w:sz w:val="24"/>
                <w:szCs w:val="24"/>
              </w:rPr>
              <w:t>元整；</w:t>
            </w:r>
          </w:p>
        </w:tc>
      </w:tr>
      <w:tr w14:paraId="2768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8" w:type="dxa"/>
            <w:noWrap/>
            <w:vAlign w:val="center"/>
          </w:tcPr>
          <w:p w14:paraId="416EA27B">
            <w:pPr>
              <w:keepNext w:val="0"/>
              <w:keepLines w:val="0"/>
              <w:pageBreakBefore w:val="0"/>
              <w:widowControl/>
              <w:kinsoku/>
              <w:wordWrap/>
              <w:overflowPunct/>
              <w:topLinePunct w:val="0"/>
              <w:autoSpaceDE/>
              <w:autoSpaceDN/>
              <w:bidi w:val="0"/>
              <w:adjustRightInd/>
              <w:snapToGrid/>
              <w:spacing w:before="75" w:after="75" w:line="288" w:lineRule="auto"/>
              <w:ind w:firstLine="0" w:firstLineChars="0"/>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8580" w:type="dxa"/>
            <w:noWrap/>
            <w:vAlign w:val="center"/>
          </w:tcPr>
          <w:p w14:paraId="5AB9BCAC">
            <w:pPr>
              <w:keepNext w:val="0"/>
              <w:keepLines w:val="0"/>
              <w:pageBreakBefore w:val="0"/>
              <w:widowControl/>
              <w:kinsoku/>
              <w:wordWrap/>
              <w:overflowPunct/>
              <w:topLinePunct w:val="0"/>
              <w:autoSpaceDE/>
              <w:autoSpaceDN/>
              <w:bidi w:val="0"/>
              <w:adjustRightInd/>
              <w:snapToGrid/>
              <w:spacing w:before="75" w:after="75" w:line="288" w:lineRule="auto"/>
              <w:ind w:firstLine="0" w:firstLineChars="0"/>
              <w:jc w:val="both"/>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谈判</w:t>
            </w:r>
            <w:r>
              <w:rPr>
                <w:rFonts w:hint="eastAsia" w:ascii="宋体" w:hAnsi="宋体" w:eastAsia="宋体" w:cs="宋体"/>
                <w:color w:val="auto"/>
                <w:kern w:val="0"/>
                <w:sz w:val="24"/>
                <w:szCs w:val="24"/>
              </w:rPr>
              <w:t>保证金提交的时间：</w:t>
            </w:r>
            <w:r>
              <w:rPr>
                <w:rFonts w:hint="eastAsia" w:ascii="宋体" w:hAnsi="宋体" w:eastAsia="宋体" w:cs="宋体"/>
                <w:color w:val="auto"/>
                <w:sz w:val="24"/>
                <w:szCs w:val="24"/>
              </w:rPr>
              <w:t>首次响应文件递交截止</w:t>
            </w:r>
            <w:r>
              <w:rPr>
                <w:rFonts w:hint="eastAsia" w:ascii="宋体" w:hAnsi="宋体" w:eastAsia="宋体" w:cs="宋体"/>
                <w:color w:val="auto"/>
                <w:kern w:val="0"/>
                <w:sz w:val="24"/>
                <w:szCs w:val="24"/>
              </w:rPr>
              <w:t>前；</w:t>
            </w:r>
          </w:p>
        </w:tc>
      </w:tr>
      <w:tr w14:paraId="054E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888" w:type="dxa"/>
            <w:noWrap/>
            <w:vAlign w:val="center"/>
          </w:tcPr>
          <w:p w14:paraId="58A5F63A">
            <w:pPr>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8580" w:type="dxa"/>
            <w:noWrap/>
            <w:vAlign w:val="center"/>
          </w:tcPr>
          <w:p w14:paraId="7282C011">
            <w:pPr>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招标代理机构账户信息</w:t>
            </w:r>
            <w:r>
              <w:rPr>
                <w:rFonts w:hint="eastAsia" w:ascii="宋体" w:hAnsi="宋体" w:eastAsia="宋体" w:cs="宋体"/>
                <w:b/>
                <w:bCs/>
                <w:color w:val="auto"/>
                <w:sz w:val="24"/>
                <w:szCs w:val="24"/>
                <w:lang w:eastAsia="zh-CN"/>
              </w:rPr>
              <w:t>：</w:t>
            </w:r>
          </w:p>
          <w:p w14:paraId="26AE519C">
            <w:pPr>
              <w:keepNext w:val="0"/>
              <w:keepLines w:val="0"/>
              <w:pageBreakBefore w:val="0"/>
              <w:widowControl w:val="0"/>
              <w:kinsoku/>
              <w:wordWrap/>
              <w:overflowPunct/>
              <w:topLinePunct w:val="0"/>
              <w:autoSpaceDE/>
              <w:autoSpaceDN/>
              <w:bidi w:val="0"/>
              <w:adjustRightInd/>
              <w:snapToGrid/>
              <w:spacing w:before="0" w:after="0" w:line="288" w:lineRule="auto"/>
              <w:ind w:firstLine="480" w:firstLineChars="200"/>
              <w:jc w:val="both"/>
              <w:textAlignment w:val="auto"/>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户名：福建智祺工程管理有限公司</w:t>
            </w:r>
          </w:p>
          <w:p w14:paraId="7A5DD3F5">
            <w:pPr>
              <w:keepNext w:val="0"/>
              <w:keepLines w:val="0"/>
              <w:pageBreakBefore w:val="0"/>
              <w:widowControl w:val="0"/>
              <w:kinsoku/>
              <w:wordWrap/>
              <w:overflowPunct/>
              <w:topLinePunct w:val="0"/>
              <w:autoSpaceDE/>
              <w:autoSpaceDN/>
              <w:bidi w:val="0"/>
              <w:adjustRightInd/>
              <w:snapToGrid/>
              <w:spacing w:before="0" w:after="0" w:line="288" w:lineRule="auto"/>
              <w:ind w:firstLine="480" w:firstLineChars="200"/>
              <w:jc w:val="both"/>
              <w:textAlignment w:val="auto"/>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帐号：431260013878</w:t>
            </w:r>
          </w:p>
          <w:p w14:paraId="4A6AFF87">
            <w:pPr>
              <w:keepNext w:val="0"/>
              <w:keepLines w:val="0"/>
              <w:pageBreakBefore w:val="0"/>
              <w:widowControl w:val="0"/>
              <w:kinsoku/>
              <w:wordWrap/>
              <w:overflowPunct/>
              <w:topLinePunct w:val="0"/>
              <w:autoSpaceDE/>
              <w:autoSpaceDN/>
              <w:bidi w:val="0"/>
              <w:adjustRightInd/>
              <w:snapToGrid/>
              <w:spacing w:before="0" w:after="0" w:line="288" w:lineRule="auto"/>
              <w:ind w:firstLine="480" w:firstLineChars="200"/>
              <w:jc w:val="both"/>
              <w:textAlignment w:val="auto"/>
              <w:outlineLvl w:val="1"/>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开户行：中国银行沙县支行营业部</w:t>
            </w:r>
          </w:p>
        </w:tc>
      </w:tr>
      <w:tr w14:paraId="7478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468" w:type="dxa"/>
            <w:gridSpan w:val="2"/>
            <w:noWrap/>
            <w:vAlign w:val="center"/>
          </w:tcPr>
          <w:p w14:paraId="34B67E8B">
            <w:pPr>
              <w:keepNext w:val="0"/>
              <w:keepLines w:val="0"/>
              <w:pageBreakBefore w:val="0"/>
              <w:kinsoku/>
              <w:wordWrap/>
              <w:overflowPunct/>
              <w:topLinePunct w:val="0"/>
              <w:autoSpaceDE/>
              <w:autoSpaceDN/>
              <w:bidi w:val="0"/>
              <w:adjustRightInd/>
              <w:snapToGrid/>
              <w:spacing w:line="288" w:lineRule="auto"/>
              <w:ind w:firstLine="4080" w:firstLineChars="17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特别提示</w:t>
            </w:r>
          </w:p>
        </w:tc>
      </w:tr>
      <w:tr w14:paraId="20CC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468" w:type="dxa"/>
            <w:gridSpan w:val="2"/>
            <w:noWrap/>
            <w:vAlign w:val="center"/>
          </w:tcPr>
          <w:p w14:paraId="026DED73">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1、请供应商务必认真核对账户信息，将谈判保证金款项汇入对应账户，并自行承担因款项汇错而产生的一切后果。</w:t>
            </w:r>
          </w:p>
          <w:p w14:paraId="43B5DB7A">
            <w:pPr>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2、请供应商在转账或电汇的凭证上务必按照以下格式注明，以便核对：“（项目编号：***、采购包：***）的谈判保证金”。</w:t>
            </w:r>
          </w:p>
        </w:tc>
      </w:tr>
    </w:tbl>
    <w:p w14:paraId="1D71C26E">
      <w:pPr>
        <w:widowControl w:val="0"/>
        <w:autoSpaceDE w:val="0"/>
        <w:autoSpaceDN w:val="0"/>
        <w:adjustRightInd w:val="0"/>
        <w:rPr>
          <w:rFonts w:ascii="@幼圆" w:hAnsi="@幼圆" w:eastAsia="@幼圆" w:cs="@幼圆"/>
          <w:color w:val="auto"/>
          <w:sz w:val="24"/>
          <w:szCs w:val="24"/>
          <w:lang w:val="en-US" w:eastAsia="zh-CN" w:bidi="ar-SA"/>
        </w:rPr>
      </w:pPr>
      <w:r>
        <w:rPr>
          <w:rFonts w:ascii="@幼圆" w:hAnsi="@幼圆" w:eastAsia="@幼圆" w:cs="@幼圆"/>
          <w:color w:val="auto"/>
          <w:sz w:val="24"/>
          <w:szCs w:val="24"/>
          <w:lang w:val="en-US" w:eastAsia="zh-CN" w:bidi="ar-SA"/>
        </w:rPr>
        <w:br w:type="page"/>
      </w:r>
    </w:p>
    <w:p w14:paraId="3B4FBA85">
      <w:pPr>
        <w:widowControl w:val="0"/>
        <w:autoSpaceDE w:val="0"/>
        <w:autoSpaceDN w:val="0"/>
        <w:adjustRightInd w:val="0"/>
        <w:rPr>
          <w:rFonts w:ascii="@幼圆" w:hAnsi="@幼圆" w:eastAsia="@幼圆" w:cs="@幼圆"/>
          <w:color w:val="auto"/>
          <w:sz w:val="24"/>
          <w:szCs w:val="24"/>
          <w:lang w:val="en-US" w:eastAsia="zh-CN" w:bidi="ar-SA"/>
        </w:rPr>
      </w:pPr>
    </w:p>
    <w:p w14:paraId="164FDE3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17D7F"/>
    <w:multiLevelType w:val="singleLevel"/>
    <w:tmpl w:val="F4417D7F"/>
    <w:lvl w:ilvl="0" w:tentative="0">
      <w:start w:val="5"/>
      <w:numFmt w:val="decimal"/>
      <w:suff w:val="nothing"/>
      <w:lvlText w:val="%1、"/>
      <w:lvlJc w:val="left"/>
    </w:lvl>
  </w:abstractNum>
  <w:abstractNum w:abstractNumId="1">
    <w:nsid w:val="38F67BB6"/>
    <w:multiLevelType w:val="multilevel"/>
    <w:tmpl w:val="38F67BB6"/>
    <w:lvl w:ilvl="0" w:tentative="0">
      <w:start w:val="1"/>
      <w:numFmt w:val="decimal"/>
      <w:lvlText w:val="(%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F5287"/>
    <w:rsid w:val="5A7F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1328</Words>
  <Characters>1502</Characters>
  <Lines>0</Lines>
  <Paragraphs>0</Paragraphs>
  <TotalTime>0</TotalTime>
  <ScaleCrop>false</ScaleCrop>
  <LinksUpToDate>false</LinksUpToDate>
  <CharactersWithSpaces>1519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2025-11-19T06:39:00Z</dcterms:created>
  <dc:creator>Administrator</dc:creator>
  <cp:lastModifiedBy>小林</cp:lastModifiedBy>
  <dcterms:modified xsi:type="dcterms:W3CDTF">2025-11-21T00:37:23Z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eyJoZGlkIjoiOWIyMWQ2MTA2ZDU1YTA2Yjk2YmFkNTFmYmFkYTQwYmIiLCJ1c2VySWQiOiIxNTc0MDMxNjU4In0=</vt:lpwstr>
  </property>
  <property fmtid="{D5CDD505-2E9C-101B-9397-08002B2CF9AE}" pid="4" name="ICV">
    <vt:lpwstr>7FF914B36F464EAF9F66F19CE5DFC22F_12</vt:lpwstr>
  </property>
</Properties>
</file>