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color w:val="auto"/>
          <w:kern w:val="0"/>
          <w:sz w:val="56"/>
          <w:szCs w:val="56"/>
          <w:highlight w:val="none"/>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color w:val="auto"/>
          <w:kern w:val="0"/>
          <w:sz w:val="56"/>
          <w:szCs w:val="56"/>
          <w:highlight w:val="none"/>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val="0"/>
          <w:bCs/>
          <w:color w:val="auto"/>
          <w:sz w:val="56"/>
          <w:szCs w:val="56"/>
          <w:highlight w:val="none"/>
        </w:rPr>
      </w:pPr>
      <w:r>
        <w:rPr>
          <w:rFonts w:hint="eastAsia" w:ascii="方正小标宋简体" w:hAnsi="方正小标宋简体" w:eastAsia="方正小标宋简体" w:cs="方正小标宋简体"/>
          <w:b w:val="0"/>
          <w:bCs/>
          <w:color w:val="auto"/>
          <w:kern w:val="0"/>
          <w:sz w:val="56"/>
          <w:szCs w:val="56"/>
          <w:highlight w:val="none"/>
          <w:lang w:val="en-US" w:eastAsia="zh-CN" w:bidi="ar"/>
        </w:rPr>
        <w:t>霞浦县农村信用合作联社</w:t>
      </w:r>
    </w:p>
    <w:p>
      <w:pPr>
        <w:keepNext w:val="0"/>
        <w:keepLines w:val="0"/>
        <w:widowControl/>
        <w:suppressLineNumbers w:val="0"/>
        <w:jc w:val="center"/>
        <w:rPr>
          <w:rFonts w:hint="eastAsia" w:ascii="方正小标宋简体" w:hAnsi="方正小标宋简体" w:eastAsia="方正小标宋简体" w:cs="方正小标宋简体"/>
          <w:b w:val="0"/>
          <w:bCs/>
          <w:color w:val="auto"/>
          <w:kern w:val="0"/>
          <w:sz w:val="56"/>
          <w:szCs w:val="56"/>
          <w:highlight w:val="none"/>
          <w:lang w:val="en-US" w:eastAsia="zh-CN" w:bidi="ar"/>
        </w:rPr>
      </w:pPr>
      <w:r>
        <w:rPr>
          <w:rFonts w:hint="eastAsia" w:ascii="方正小标宋简体" w:hAnsi="方正小标宋简体" w:eastAsia="方正小标宋简体" w:cs="方正小标宋简体"/>
          <w:b w:val="0"/>
          <w:bCs/>
          <w:color w:val="auto"/>
          <w:kern w:val="0"/>
          <w:sz w:val="56"/>
          <w:szCs w:val="56"/>
          <w:highlight w:val="none"/>
          <w:lang w:val="en-US" w:eastAsia="zh-CN" w:bidi="ar"/>
        </w:rPr>
        <w:t>2024年度环境信息披露报告</w:t>
      </w:r>
    </w:p>
    <w:p>
      <w:pPr>
        <w:keepNext w:val="0"/>
        <w:keepLines w:val="0"/>
        <w:widowControl/>
        <w:suppressLineNumbers w:val="0"/>
        <w:jc w:val="left"/>
        <w:rPr>
          <w:rFonts w:hint="eastAsia" w:ascii="黑体" w:hAnsi="宋体" w:eastAsia="黑体" w:cs="黑体"/>
          <w:b/>
          <w:color w:val="auto"/>
          <w:kern w:val="0"/>
          <w:sz w:val="67"/>
          <w:szCs w:val="67"/>
          <w:highlight w:val="none"/>
          <w:lang w:val="en-US" w:eastAsia="zh-CN" w:bidi="ar"/>
        </w:rPr>
      </w:pP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center"/>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center"/>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widowControl/>
        <w:suppressLineNumbers w:val="0"/>
        <w:jc w:val="center"/>
        <w:rPr>
          <w:rFonts w:hint="eastAsia" w:ascii="黑体" w:hAnsi="宋体" w:eastAsia="黑体" w:cs="黑体"/>
          <w:b/>
          <w:color w:val="FF0000"/>
          <w:kern w:val="0"/>
          <w:sz w:val="67"/>
          <w:szCs w:val="67"/>
          <w:highlight w:val="none"/>
          <w:lang w:val="en-US" w:eastAsia="zh-CN" w:bidi="ar"/>
        </w:rPr>
      </w:pPr>
      <w:r>
        <w:rPr>
          <w:rFonts w:hint="eastAsia" w:ascii="黑体" w:hAnsi="宋体" w:eastAsia="黑体" w:cs="黑体"/>
          <w:b/>
          <w:color w:val="FF0000"/>
          <w:kern w:val="0"/>
          <w:sz w:val="67"/>
          <w:szCs w:val="67"/>
          <w:highlight w:val="none"/>
          <w:lang w:val="en-US" w:eastAsia="zh-CN" w:bidi="ar"/>
        </w:rPr>
        <w:drawing>
          <wp:inline distT="0" distB="0" distL="114300" distR="114300">
            <wp:extent cx="3395980" cy="831215"/>
            <wp:effectExtent l="0" t="0" r="2540"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3395980" cy="831215"/>
                    </a:xfrm>
                    <a:prstGeom prst="rect">
                      <a:avLst/>
                    </a:prstGeom>
                  </pic:spPr>
                </pic:pic>
              </a:graphicData>
            </a:graphic>
          </wp:inline>
        </w:drawing>
      </w: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r>
        <w:rPr>
          <w:rFonts w:hint="eastAsia" w:ascii="黑体" w:hAnsi="宋体" w:eastAsia="黑体" w:cs="黑体"/>
          <w:b/>
          <w:color w:val="FF0000"/>
          <w:kern w:val="0"/>
          <w:sz w:val="67"/>
          <w:szCs w:val="67"/>
          <w:highlight w:val="none"/>
          <w:lang w:val="en-US" w:eastAsia="zh-CN" w:bidi="ar"/>
        </w:rPr>
        <w:t xml:space="preserve">         </w:t>
      </w:r>
    </w:p>
    <w:p>
      <w:pPr>
        <w:keepNext w:val="0"/>
        <w:keepLines w:val="0"/>
        <w:widowControl/>
        <w:suppressLineNumbers w:val="0"/>
        <w:jc w:val="left"/>
        <w:rPr>
          <w:rFonts w:hint="eastAsia" w:ascii="黑体" w:hAnsi="宋体" w:eastAsia="黑体" w:cs="黑体"/>
          <w:b/>
          <w:color w:val="FF0000"/>
          <w:kern w:val="0"/>
          <w:sz w:val="67"/>
          <w:szCs w:val="67"/>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黑体" w:hAnsi="黑体" w:eastAsia="黑体" w:cs="黑体"/>
          <w:color w:val="auto"/>
          <w:kern w:val="0"/>
          <w:sz w:val="31"/>
          <w:szCs w:val="31"/>
          <w:highlight w:val="none"/>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highlight w:val="none"/>
          <w:lang w:val="en-US" w:eastAsia="zh-CN" w:bidi="ar-SA"/>
        </w:rPr>
        <w:id w:val="147472588"/>
        <w15:color w:val="DBDBDB"/>
        <w:docPartObj>
          <w:docPartGallery w:val="Table of Contents"/>
          <w:docPartUnique/>
        </w:docPartObj>
      </w:sdtPr>
      <w:sdtEndPr>
        <w:rPr>
          <w:rFonts w:hint="eastAsia" w:ascii="仿宋_GB2312" w:hAnsi="仿宋_GB2312" w:eastAsia="仿宋_GB2312" w:cs="仿宋_GB2312"/>
          <w:b/>
          <w:bCs/>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eastAsia" w:ascii="仿宋_GB2312" w:hAnsi="仿宋_GB2312" w:eastAsia="仿宋_GB2312" w:cs="仿宋_GB2312"/>
              <w:sz w:val="32"/>
              <w:szCs w:val="32"/>
              <w:highlight w:val="none"/>
            </w:rPr>
          </w:pPr>
          <w:bookmarkStart w:id="0" w:name="_Toc25476_WPSOffice_Type2"/>
          <w:r>
            <w:rPr>
              <w:rFonts w:hint="eastAsia" w:ascii="仿宋_GB2312" w:hAnsi="仿宋_GB2312" w:eastAsia="仿宋_GB2312" w:cs="仿宋_GB2312"/>
              <w:sz w:val="32"/>
              <w:szCs w:val="32"/>
              <w:highlight w:val="none"/>
            </w:rPr>
            <w:t>目</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录</w:t>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_Toc15291_WPSOffice_Level1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ffab561c-dca8-45d0-8a99-2028ad2c1510}"/>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一、关于本报告</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_Toc14728_WPSOffice_Level2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c0cd46a5-26fa-48ec-b8a9-7cc846227575}"/>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报告期间</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_Toc30457_WPSOffice_Level2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b71db079-c4bc-45c9-8a08-000a1f976de7}"/>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报告范围</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_Toc22572_WPSOffice_Level2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2686afe0-d36f-4fca-b772-ea2d177c8d2d}"/>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报告数据说明</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_Toc12076_WPSOffice_Level2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73c51df3-38bc-4f92-bd57-2644904c2900}"/>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报告编制依据</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_Toc9429_WPSOffice_Level2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53714be4-0466-4667-8261-e343e32db29b}"/>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报告发布形式</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_Toc14728_WPSOffice_Level1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40ab2533-38d4-4407-96a9-7d6c539532f1}"/>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二、总体概况</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_Toc21649_WPSOffice_Level2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0f575627-254b-40e4-baaf-d37caa2c408a}"/>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（一）年度概况</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_Toc20776_WPSOffice_Level2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fe5ea4c3-71dd-43d6-b4e0-fb6d54188245}"/>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（二）环境相关规划目标及行动成效</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_Toc15918_WPSOffice_Level2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924ab096-b305-4201-bc90-8c46f7354f25}"/>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（三）下一年度规划与目标</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_Toc30457_WPSOffice_Level1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a90357be-2bc3-4f90-b4a3-65886317fa0c}"/>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三、环境相关治理结构</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_Toc22572_WPSOffice_Level1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0def1506-c8de-48a6-b4e0-66a5c31eaebf}"/>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四、环境相关政策制度</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_Toc12076_WPSOffice_Level1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88ed4c43-ddb8-445d-abee-eb2e6be8183d}"/>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五、环境相关产品与服务创新</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_Toc9429_WPSOffice_Level1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13d320b8-5837-4746-aa33-4a3896ef65f5}"/>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六、环境风险控制流程</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_Toc21649_WPSOffice_Level1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91"/>
              <w:placeholder>
                <w:docPart w:val="{6d55e3fe-756e-4052-a2a4-fdecc77efef9}"/>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七、经营活动的环境影响及减排措施</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9</w:t>
          </w:r>
          <w:r>
            <w:rPr>
              <w:rFonts w:hint="eastAsia" w:ascii="仿宋_GB2312" w:hAnsi="仿宋_GB2312" w:eastAsia="仿宋_GB2312" w:cs="仿宋_GB2312"/>
              <w:b/>
              <w:bCs/>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_Toc31784_WPSOffice_Level2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b5af97a9-8bcc-430f-b89f-2991486519e7}"/>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（一）经营环境影响</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_Toc27340_WPSOffice_Level2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3218e929-1974-4f0a-95c3-278e4d52a28a}"/>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【经营活动碳排放与资源消耗情况】</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_Toc15898_WPSOffice_Level2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ee2b35c8-4675-4765-9613-c1ff6a845c70}"/>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（二）节能减排措施</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0</w:t>
          </w:r>
          <w:bookmarkStart w:id="23" w:name="_GoBack"/>
          <w:bookmarkEnd w:id="23"/>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_Toc23470_WPSOffice_Level2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91"/>
              <w:placeholder>
                <w:docPart w:val="{bdbe2d90-0f74-4c1c-8008-f832d6fb82e3}"/>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【运营活动中节能减排措施】</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0</w:t>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_Toc20776_WPSOffice_Level1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88"/>
              <w:placeholder>
                <w:docPart w:val="{4b350830-d350-428c-90cd-ed4ed79bdbb6}"/>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八、投融资活动对气候与环境的影响</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lang w:val="en-US" w:eastAsia="zh-CN"/>
            </w:rPr>
            <w:t>1</w:t>
          </w:r>
        </w:p>
        <w:p>
          <w:pPr>
            <w:pStyle w:val="13"/>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_Toc25476_WPSOffice_Level2 </w:instrText>
          </w:r>
          <w:r>
            <w:rPr>
              <w:rFonts w:hint="eastAsia" w:ascii="仿宋_GB2312" w:hAnsi="仿宋_GB2312" w:eastAsia="仿宋_GB2312" w:cs="仿宋_GB2312"/>
              <w:sz w:val="32"/>
              <w:szCs w:val="32"/>
              <w:highlight w:val="none"/>
            </w:rPr>
            <w:fldChar w:fldCharType="separate"/>
          </w:r>
          <w:sdt>
            <w:sdtPr>
              <w:rPr>
                <w:rFonts w:hint="eastAsia" w:ascii="仿宋_GB2312" w:hAnsi="仿宋_GB2312" w:eastAsia="仿宋_GB2312" w:cs="仿宋_GB2312"/>
                <w:kern w:val="2"/>
                <w:sz w:val="32"/>
                <w:szCs w:val="32"/>
                <w:highlight w:val="none"/>
                <w:lang w:val="en-US" w:eastAsia="zh-CN" w:bidi="ar-SA"/>
              </w:rPr>
              <w:id w:val="147472588"/>
              <w:placeholder>
                <w:docPart w:val="{21252525-53e9-469b-a96d-2f033230ddc5}"/>
              </w:placeholder>
              <w15:color w:val="509DF3"/>
            </w:sdtPr>
            <w:sdtEndPr>
              <w:rPr>
                <w:rFonts w:hint="eastAsia" w:ascii="仿宋_GB2312" w:hAnsi="仿宋_GB2312" w:eastAsia="仿宋_GB2312" w:cs="仿宋_GB2312"/>
                <w:kern w:val="2"/>
                <w:sz w:val="32"/>
                <w:szCs w:val="32"/>
                <w:highlight w:val="none"/>
                <w:lang w:val="en-US" w:eastAsia="zh-CN" w:bidi="ar-SA"/>
              </w:rPr>
            </w:sdtEndPr>
            <w:sdtContent>
              <w:r>
                <w:rPr>
                  <w:rFonts w:hint="eastAsia" w:ascii="仿宋_GB2312" w:hAnsi="仿宋_GB2312" w:eastAsia="仿宋_GB2312" w:cs="仿宋_GB2312"/>
                  <w:sz w:val="32"/>
                  <w:szCs w:val="32"/>
                  <w:highlight w:val="none"/>
                </w:rPr>
                <w:t>【投融资活动对气候与环境的影响】</w:t>
              </w:r>
            </w:sdtContent>
          </w:sdt>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1</w:t>
          </w:r>
        </w:p>
        <w:p>
          <w:pPr>
            <w:pStyle w:val="1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_Toc25476_WPSOffice_Level1 </w:instrText>
          </w:r>
          <w:r>
            <w:rPr>
              <w:rFonts w:hint="eastAsia" w:ascii="仿宋_GB2312" w:hAnsi="仿宋_GB2312" w:eastAsia="仿宋_GB2312" w:cs="仿宋_GB2312"/>
              <w:b/>
              <w:bCs/>
              <w:sz w:val="32"/>
              <w:szCs w:val="32"/>
              <w:highlight w:val="none"/>
            </w:rPr>
            <w:fldChar w:fldCharType="separate"/>
          </w:r>
          <w:sdt>
            <w:sdtPr>
              <w:rPr>
                <w:rFonts w:hint="eastAsia" w:ascii="仿宋_GB2312" w:hAnsi="仿宋_GB2312" w:eastAsia="仿宋_GB2312" w:cs="仿宋_GB2312"/>
                <w:b/>
                <w:bCs/>
                <w:kern w:val="2"/>
                <w:sz w:val="32"/>
                <w:szCs w:val="32"/>
                <w:highlight w:val="none"/>
                <w:lang w:val="en-US" w:eastAsia="zh-CN" w:bidi="ar-SA"/>
              </w:rPr>
              <w:id w:val="147472588"/>
              <w:placeholder>
                <w:docPart w:val="{ea9ab1c8-efa5-4ed6-bcb1-ce8eba3005bf}"/>
              </w:placeholder>
              <w15:color w:val="509DF3"/>
            </w:sdtPr>
            <w:sdtEndPr>
              <w:rPr>
                <w:rFonts w:hint="eastAsia" w:ascii="仿宋_GB2312" w:hAnsi="仿宋_GB2312" w:eastAsia="仿宋_GB2312" w:cs="仿宋_GB2312"/>
                <w:b/>
                <w:bCs/>
                <w:kern w:val="2"/>
                <w:sz w:val="32"/>
                <w:szCs w:val="32"/>
                <w:highlight w:val="none"/>
                <w:lang w:val="en-US" w:eastAsia="zh-CN" w:bidi="ar-SA"/>
              </w:rPr>
            </w:sdtEndPr>
            <w:sdtContent>
              <w:r>
                <w:rPr>
                  <w:rFonts w:hint="eastAsia" w:ascii="仿宋_GB2312" w:hAnsi="仿宋_GB2312" w:eastAsia="仿宋_GB2312" w:cs="仿宋_GB2312"/>
                  <w:b/>
                  <w:bCs/>
                  <w:sz w:val="32"/>
                  <w:szCs w:val="32"/>
                  <w:highlight w:val="none"/>
                </w:rPr>
                <w:t>九、未来展望</w:t>
              </w:r>
            </w:sdtContent>
          </w:sdt>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fldChar w:fldCharType="end"/>
          </w:r>
          <w:bookmarkEnd w:id="0"/>
          <w:r>
            <w:rPr>
              <w:rFonts w:hint="eastAsia" w:ascii="仿宋_GB2312" w:hAnsi="仿宋_GB2312" w:eastAsia="仿宋_GB2312" w:cs="仿宋_GB2312"/>
              <w:b/>
              <w:bCs/>
              <w:sz w:val="32"/>
              <w:szCs w:val="32"/>
              <w:highlight w:val="none"/>
              <w:lang w:val="en-US" w:eastAsia="zh-CN"/>
            </w:rPr>
            <w:t>2</w:t>
          </w:r>
        </w:p>
      </w:sdtContent>
    </w:sdt>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highlight w:val="none"/>
        </w:rPr>
      </w:pPr>
      <w:bookmarkStart w:id="1" w:name="_Toc15291_WPSOffice_Level1"/>
      <w:r>
        <w:rPr>
          <w:rFonts w:hint="eastAsia" w:ascii="黑体" w:hAnsi="黑体" w:eastAsia="黑体" w:cs="黑体"/>
          <w:color w:val="auto"/>
          <w:kern w:val="0"/>
          <w:sz w:val="32"/>
          <w:szCs w:val="32"/>
          <w:highlight w:val="none"/>
          <w:lang w:val="en-US" w:eastAsia="zh-CN" w:bidi="ar"/>
        </w:rPr>
        <w:t>一、关于本报告</w:t>
      </w:r>
      <w:bookmarkEnd w:id="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霞浦县农村信用合作联社2024年度环境信息披露报告》（以下简称“本报告”），旨在披露霞浦县农村信用合作联社在环境保护、绿色金融及绿色运营等环境方面的相关信息。除特别说明外，本报告中“本社”、“霞浦农信联社”指代霞浦县农村信用合作联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color w:val="auto"/>
          <w:sz w:val="32"/>
          <w:szCs w:val="32"/>
          <w:highlight w:val="none"/>
        </w:rPr>
      </w:pPr>
      <w:bookmarkStart w:id="2" w:name="_Toc14728_WPSOffice_Level2"/>
      <w:r>
        <w:rPr>
          <w:rFonts w:hint="eastAsia" w:ascii="仿宋_GB2312" w:hAnsi="宋体" w:eastAsia="仿宋_GB2312" w:cs="仿宋_GB2312"/>
          <w:b/>
          <w:color w:val="auto"/>
          <w:kern w:val="0"/>
          <w:sz w:val="32"/>
          <w:szCs w:val="32"/>
          <w:highlight w:val="none"/>
          <w:lang w:val="en-US" w:eastAsia="zh-CN" w:bidi="ar"/>
        </w:rPr>
        <w:t>报告期间</w:t>
      </w:r>
      <w:bookmarkEnd w:id="2"/>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2024年1月1日至2024年12月31日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color w:val="auto"/>
          <w:sz w:val="32"/>
          <w:szCs w:val="32"/>
          <w:highlight w:val="none"/>
        </w:rPr>
      </w:pPr>
      <w:bookmarkStart w:id="3" w:name="_Toc30457_WPSOffice_Level2"/>
      <w:r>
        <w:rPr>
          <w:rFonts w:hint="eastAsia" w:ascii="仿宋_GB2312" w:hAnsi="宋体" w:eastAsia="仿宋_GB2312" w:cs="仿宋_GB2312"/>
          <w:b/>
          <w:color w:val="auto"/>
          <w:kern w:val="0"/>
          <w:sz w:val="32"/>
          <w:szCs w:val="32"/>
          <w:highlight w:val="none"/>
          <w:lang w:val="en-US" w:eastAsia="zh-CN" w:bidi="ar"/>
        </w:rPr>
        <w:t>报告范围</w:t>
      </w:r>
      <w:bookmarkEnd w:id="3"/>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本报告披露范围包括霞浦县农村信用合作联社及所辖分支机构。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color w:val="auto"/>
          <w:sz w:val="32"/>
          <w:szCs w:val="32"/>
          <w:highlight w:val="none"/>
        </w:rPr>
      </w:pPr>
      <w:bookmarkStart w:id="4" w:name="_Toc22572_WPSOffice_Level2"/>
      <w:r>
        <w:rPr>
          <w:rFonts w:hint="eastAsia" w:ascii="仿宋_GB2312" w:hAnsi="宋体" w:eastAsia="仿宋_GB2312" w:cs="仿宋_GB2312"/>
          <w:b/>
          <w:color w:val="auto"/>
          <w:kern w:val="0"/>
          <w:sz w:val="32"/>
          <w:szCs w:val="32"/>
          <w:highlight w:val="none"/>
          <w:lang w:val="en-US" w:eastAsia="zh-CN" w:bidi="ar"/>
        </w:rPr>
        <w:t>报告数据说明</w:t>
      </w:r>
      <w:bookmarkEnd w:id="4"/>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本报告中的数据以2024年1月1日至2024年12月31日期间内的数据为主，主要来源本社内部统计数据及基于报告框架的定性与定量数据信息采集。本报告所涉及货币金额以人民币为计量单位。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color w:val="auto"/>
          <w:sz w:val="32"/>
          <w:szCs w:val="32"/>
          <w:highlight w:val="none"/>
        </w:rPr>
      </w:pPr>
      <w:bookmarkStart w:id="5" w:name="_Toc12076_WPSOffice_Level2"/>
      <w:r>
        <w:rPr>
          <w:rFonts w:hint="eastAsia" w:ascii="仿宋_GB2312" w:hAnsi="宋体" w:eastAsia="仿宋_GB2312" w:cs="仿宋_GB2312"/>
          <w:b/>
          <w:color w:val="auto"/>
          <w:kern w:val="0"/>
          <w:sz w:val="32"/>
          <w:szCs w:val="32"/>
          <w:highlight w:val="none"/>
          <w:lang w:val="en-US" w:eastAsia="zh-CN" w:bidi="ar"/>
        </w:rPr>
        <w:t>报告编制依据</w:t>
      </w:r>
      <w:bookmarkEnd w:id="5"/>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rPr>
      </w:pPr>
      <w:r>
        <w:rPr>
          <w:rFonts w:hint="eastAsia" w:ascii="仿宋_GB2312" w:hAnsi="宋体" w:eastAsia="仿宋_GB2312" w:cs="仿宋_GB2312"/>
          <w:color w:val="auto"/>
          <w:kern w:val="0"/>
          <w:sz w:val="32"/>
          <w:szCs w:val="32"/>
          <w:highlight w:val="none"/>
          <w:lang w:val="en-US" w:eastAsia="zh-CN" w:bidi="ar"/>
        </w:rPr>
        <w:t>本报告内容遵循人民银行福建省分行发布的《福建省金融机构环境信息披露工作安排》及中国人民银行《金融机构环境信息披露指南》（JR/T0227-2021）等相关要求。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color w:val="auto"/>
          <w:sz w:val="32"/>
          <w:szCs w:val="32"/>
          <w:highlight w:val="none"/>
        </w:rPr>
      </w:pPr>
      <w:bookmarkStart w:id="6" w:name="_Toc9429_WPSOffice_Level2"/>
      <w:r>
        <w:rPr>
          <w:rFonts w:hint="eastAsia" w:ascii="仿宋_GB2312" w:hAnsi="宋体" w:eastAsia="仿宋_GB2312" w:cs="仿宋_GB2312"/>
          <w:b/>
          <w:color w:val="auto"/>
          <w:kern w:val="0"/>
          <w:sz w:val="32"/>
          <w:szCs w:val="32"/>
          <w:highlight w:val="none"/>
          <w:lang w:val="en-US" w:eastAsia="zh-CN" w:bidi="ar"/>
        </w:rPr>
        <w:t>报告发布形式</w:t>
      </w:r>
      <w:bookmarkEnd w:id="6"/>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本报告以中文电子版形式发布，您可在本社官方网站查阅。</w:t>
      </w:r>
    </w:p>
    <w:p>
      <w:pPr>
        <w:pStyle w:val="10"/>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b w:val="0"/>
          <w:bCs w:val="0"/>
          <w:color w:val="auto"/>
          <w:sz w:val="32"/>
          <w:szCs w:val="32"/>
          <w:highlight w:val="none"/>
        </w:rPr>
      </w:pPr>
      <w:bookmarkStart w:id="7" w:name="_Toc14728_WPSOffice_Level1"/>
      <w:r>
        <w:rPr>
          <w:rFonts w:hint="eastAsia" w:ascii="黑体" w:hAnsi="宋体" w:eastAsia="黑体" w:cs="黑体"/>
          <w:b w:val="0"/>
          <w:bCs w:val="0"/>
          <w:color w:val="auto"/>
          <w:kern w:val="0"/>
          <w:sz w:val="32"/>
          <w:szCs w:val="32"/>
          <w:highlight w:val="none"/>
          <w:lang w:val="en-US" w:eastAsia="zh-CN" w:bidi="ar"/>
        </w:rPr>
        <w:t>二、总体概况</w:t>
      </w:r>
      <w:bookmarkEnd w:id="7"/>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auto"/>
          <w:sz w:val="32"/>
          <w:szCs w:val="32"/>
          <w:highlight w:val="none"/>
        </w:rPr>
      </w:pPr>
      <w:bookmarkStart w:id="8" w:name="_Toc21649_WPSOffice_Level2"/>
      <w:r>
        <w:rPr>
          <w:rFonts w:hint="eastAsia" w:ascii="楷体_GB2312" w:hAnsi="楷体_GB2312" w:eastAsia="楷体_GB2312" w:cs="楷体_GB2312"/>
          <w:b/>
          <w:color w:val="auto"/>
          <w:kern w:val="0"/>
          <w:sz w:val="32"/>
          <w:szCs w:val="32"/>
          <w:highlight w:val="none"/>
          <w:lang w:val="en-US" w:eastAsia="zh-CN" w:bidi="ar"/>
        </w:rPr>
        <w:t>（一）年度概况</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霞浦农信联社，内设</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个职能部门，下辖营业网点17家，其中1个营业部、15个信用社、1个分社，全辖在岗</w:t>
      </w:r>
      <w:r>
        <w:rPr>
          <w:rFonts w:hint="eastAsia" w:ascii="仿宋_GB2312" w:hAnsi="仿宋_GB2312" w:eastAsia="仿宋_GB2312" w:cs="仿宋_GB2312"/>
          <w:color w:val="auto"/>
          <w:sz w:val="32"/>
          <w:szCs w:val="32"/>
          <w:highlight w:val="none"/>
          <w:lang w:val="en-US" w:eastAsia="zh-CN"/>
        </w:rPr>
        <w:t>正式</w:t>
      </w:r>
      <w:r>
        <w:rPr>
          <w:rFonts w:hint="eastAsia" w:ascii="仿宋_GB2312" w:hAnsi="仿宋_GB2312" w:eastAsia="仿宋_GB2312" w:cs="仿宋_GB2312"/>
          <w:color w:val="auto"/>
          <w:sz w:val="32"/>
          <w:szCs w:val="32"/>
          <w:highlight w:val="none"/>
          <w:lang w:eastAsia="zh-CN"/>
        </w:rPr>
        <w:t>员工总数</w:t>
      </w:r>
      <w:r>
        <w:rPr>
          <w:rFonts w:hint="eastAsia" w:ascii="仿宋_GB2312" w:hAnsi="仿宋_GB2312" w:eastAsia="仿宋_GB2312" w:cs="仿宋_GB2312"/>
          <w:color w:val="auto"/>
          <w:sz w:val="32"/>
          <w:szCs w:val="32"/>
          <w:highlight w:val="none"/>
          <w:lang w:val="en-US" w:eastAsia="zh-CN"/>
        </w:rPr>
        <w:t>213</w:t>
      </w:r>
      <w:r>
        <w:rPr>
          <w:rFonts w:hint="eastAsia" w:ascii="仿宋_GB2312" w:hAnsi="仿宋_GB2312" w:eastAsia="仿宋_GB2312" w:cs="仿宋_GB2312"/>
          <w:color w:val="auto"/>
          <w:sz w:val="32"/>
          <w:szCs w:val="32"/>
          <w:highlight w:val="none"/>
          <w:lang w:eastAsia="zh-CN"/>
        </w:rPr>
        <w:t>人。多年来一直秉承服务县域经济发展、服务三农、服务小微、服务民生的经营理念，持续加大绿色信贷投放力度，切实推动县域绿色金融发展，经过发展与积累，各项存款余额</w:t>
      </w:r>
      <w:r>
        <w:rPr>
          <w:rFonts w:hint="eastAsia" w:ascii="仿宋_GB2312" w:hAnsi="仿宋_GB2312" w:eastAsia="仿宋_GB2312" w:cs="仿宋_GB2312"/>
          <w:color w:val="auto"/>
          <w:sz w:val="32"/>
          <w:szCs w:val="32"/>
          <w:highlight w:val="none"/>
          <w:lang w:val="en-US" w:eastAsia="zh-CN"/>
        </w:rPr>
        <w:t>达78.97</w:t>
      </w:r>
      <w:r>
        <w:rPr>
          <w:rFonts w:hint="eastAsia" w:ascii="仿宋_GB2312" w:hAnsi="仿宋_GB2312" w:eastAsia="仿宋_GB2312" w:cs="仿宋_GB2312"/>
          <w:color w:val="auto"/>
          <w:sz w:val="32"/>
          <w:szCs w:val="32"/>
          <w:highlight w:val="none"/>
          <w:lang w:eastAsia="zh-CN"/>
        </w:rPr>
        <w:t>亿元，各项贷款余额</w:t>
      </w:r>
      <w:r>
        <w:rPr>
          <w:rFonts w:hint="eastAsia" w:ascii="仿宋_GB2312" w:hAnsi="仿宋_GB2312" w:eastAsia="仿宋_GB2312" w:cs="仿宋_GB2312"/>
          <w:color w:val="auto"/>
          <w:sz w:val="32"/>
          <w:szCs w:val="32"/>
          <w:highlight w:val="none"/>
          <w:lang w:val="en-US" w:eastAsia="zh-CN"/>
        </w:rPr>
        <w:t>达74.66</w:t>
      </w:r>
      <w:r>
        <w:rPr>
          <w:rFonts w:hint="eastAsia" w:ascii="仿宋_GB2312" w:hAnsi="仿宋_GB2312" w:eastAsia="仿宋_GB2312" w:cs="仿宋_GB2312"/>
          <w:color w:val="auto"/>
          <w:sz w:val="32"/>
          <w:szCs w:val="32"/>
          <w:highlight w:val="none"/>
          <w:lang w:eastAsia="zh-CN"/>
        </w:rPr>
        <w:t>亿元，</w:t>
      </w:r>
      <w:r>
        <w:rPr>
          <w:rFonts w:hint="eastAsia" w:ascii="仿宋_GB2312" w:hAnsi="仿宋_GB2312" w:eastAsia="仿宋_GB2312" w:cs="仿宋_GB2312"/>
          <w:color w:val="auto"/>
          <w:sz w:val="32"/>
          <w:szCs w:val="32"/>
          <w:highlight w:val="none"/>
          <w:lang w:val="en-US" w:eastAsia="zh-CN"/>
        </w:rPr>
        <w:t>其中</w:t>
      </w:r>
      <w:r>
        <w:rPr>
          <w:rFonts w:hint="eastAsia" w:ascii="仿宋_GB2312" w:hAnsi="仿宋_GB2312" w:eastAsia="仿宋_GB2312" w:cs="仿宋_GB2312"/>
          <w:color w:val="auto"/>
          <w:sz w:val="32"/>
          <w:szCs w:val="32"/>
          <w:highlight w:val="none"/>
        </w:rPr>
        <w:t>绿色信贷余额</w:t>
      </w:r>
      <w:r>
        <w:rPr>
          <w:rFonts w:hint="eastAsia" w:ascii="仿宋_GB2312" w:hAnsi="仿宋_GB2312" w:eastAsia="仿宋_GB2312" w:cs="仿宋_GB2312"/>
          <w:color w:val="auto"/>
          <w:sz w:val="32"/>
          <w:szCs w:val="32"/>
          <w:highlight w:val="none"/>
          <w:lang w:val="en-US" w:eastAsia="zh-CN"/>
        </w:rPr>
        <w:t>1.10</w:t>
      </w:r>
      <w:r>
        <w:rPr>
          <w:rFonts w:hint="eastAsia" w:ascii="仿宋_GB2312" w:hAnsi="仿宋_GB2312" w:eastAsia="仿宋_GB2312" w:cs="仿宋_GB2312"/>
          <w:color w:val="auto"/>
          <w:sz w:val="32"/>
          <w:szCs w:val="32"/>
          <w:highlight w:val="none"/>
        </w:rPr>
        <w:t xml:space="preserve">亿元，绿色信贷占比 </w:t>
      </w:r>
      <w:r>
        <w:rPr>
          <w:rFonts w:hint="eastAsia" w:ascii="仿宋_GB2312" w:hAnsi="仿宋_GB2312" w:eastAsia="仿宋_GB2312" w:cs="仿宋_GB2312"/>
          <w:color w:val="auto"/>
          <w:sz w:val="32"/>
          <w:szCs w:val="32"/>
          <w:highlight w:val="none"/>
          <w:lang w:val="en-US" w:eastAsia="zh-CN"/>
        </w:rPr>
        <w:t>1.47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持续不断地</w:t>
      </w:r>
      <w:r>
        <w:rPr>
          <w:rFonts w:hint="eastAsia" w:ascii="仿宋_GB2312" w:hAnsi="仿宋_GB2312" w:eastAsia="仿宋_GB2312" w:cs="仿宋_GB2312"/>
          <w:color w:val="auto"/>
          <w:sz w:val="32"/>
          <w:szCs w:val="32"/>
          <w:highlight w:val="none"/>
          <w:lang w:eastAsia="zh-CN"/>
        </w:rPr>
        <w:t>把更多金融资源配置到农村经济社会发展的重点领域和薄弱环节，更好满足乡村振兴多样化金融需求，</w:t>
      </w:r>
      <w:r>
        <w:rPr>
          <w:rFonts w:hint="eastAsia" w:ascii="仿宋_GB2312" w:hAnsi="仿宋_GB2312" w:eastAsia="仿宋_GB2312" w:cs="仿宋_GB2312"/>
          <w:color w:val="auto"/>
          <w:sz w:val="32"/>
          <w:szCs w:val="32"/>
          <w:highlight w:val="none"/>
          <w:lang w:val="en-US" w:eastAsia="zh-CN"/>
        </w:rPr>
        <w:t>着力写好“绿色金融”这篇大文章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color w:val="auto"/>
          <w:sz w:val="32"/>
          <w:szCs w:val="32"/>
          <w:highlight w:val="none"/>
        </w:rPr>
      </w:pPr>
      <w:bookmarkStart w:id="9" w:name="_Toc20776_WPSOffice_Level2"/>
      <w:r>
        <w:rPr>
          <w:rFonts w:hint="eastAsia" w:ascii="楷体_GB2312" w:hAnsi="楷体_GB2312" w:eastAsia="楷体_GB2312" w:cs="楷体_GB2312"/>
          <w:b/>
          <w:color w:val="auto"/>
          <w:kern w:val="0"/>
          <w:sz w:val="32"/>
          <w:szCs w:val="32"/>
          <w:highlight w:val="none"/>
          <w:lang w:val="en-US" w:eastAsia="zh-CN" w:bidi="ar"/>
        </w:rPr>
        <w:t>（二）环境相关规划目标及行动成效</w:t>
      </w:r>
      <w:bookmarkEnd w:id="9"/>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b/>
          <w:color w:val="auto"/>
          <w:kern w:val="0"/>
          <w:sz w:val="32"/>
          <w:szCs w:val="32"/>
          <w:highlight w:val="none"/>
          <w:lang w:val="en-US" w:eastAsia="zh-CN" w:bidi="ar"/>
        </w:rPr>
        <w:t>1.规划及目标。</w:t>
      </w:r>
      <w:r>
        <w:rPr>
          <w:rFonts w:hint="eastAsia" w:ascii="仿宋_GB2312" w:hAnsi="宋体" w:eastAsia="仿宋_GB2312" w:cs="仿宋_GB2312"/>
          <w:color w:val="auto"/>
          <w:kern w:val="0"/>
          <w:sz w:val="32"/>
          <w:szCs w:val="32"/>
          <w:highlight w:val="none"/>
          <w:lang w:val="en-US" w:eastAsia="zh-CN" w:bidi="ar"/>
        </w:rPr>
        <w:t>以习近平新时代中国特色社会主义思想为指导，全面贯彻习近平生态文明思想，践行“绿水青山就是金山银山”的新发展理念，主动融入宁德市绿色金融建设，霞浦农信联社勇当绿色金融的排头兵和先行者，立足县域实际，通过制定《“十四五”期间推进绿色金融发展的工作方案》，将绿色金融战略与农村金融战略有机融合，大力推进绿色金融创新，打造一批可复制、可推广的绿色金融产品和服务，引导资金向低碳、环保、节能领域倾斜，进一步打通“绿水青山”向“金山银山”的转换通道，着力打造霞浦农信绿色金融服务品牌，更好支持我社高质量发展，推动霞浦县绿色金融发展迈上新台阶。</w:t>
      </w:r>
    </w:p>
    <w:p>
      <w:pPr>
        <w:pStyle w:val="2"/>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val="0"/>
          <w:bCs/>
          <w:color w:val="auto"/>
          <w:kern w:val="0"/>
          <w:sz w:val="32"/>
          <w:szCs w:val="32"/>
          <w:highlight w:val="yellow"/>
          <w:lang w:val="en-US" w:eastAsia="zh-CN" w:bidi="ar"/>
        </w:rPr>
      </w:pPr>
      <w:r>
        <w:rPr>
          <w:rFonts w:hint="eastAsia" w:ascii="仿宋_GB2312" w:hAnsi="仿宋_GB2312" w:eastAsia="仿宋_GB2312" w:cs="仿宋_GB2312"/>
          <w:b/>
          <w:color w:val="auto"/>
          <w:kern w:val="0"/>
          <w:sz w:val="32"/>
          <w:szCs w:val="32"/>
          <w:highlight w:val="none"/>
          <w:lang w:val="en-US" w:eastAsia="zh-CN" w:bidi="ar"/>
        </w:rPr>
        <w:t>2.行动成效。一是绿色信贷业务实现提质增量。</w:t>
      </w:r>
      <w:r>
        <w:rPr>
          <w:rFonts w:hint="eastAsia" w:ascii="仿宋_GB2312" w:hAnsi="仿宋_GB2312" w:eastAsia="仿宋_GB2312" w:cs="仿宋_GB2312"/>
          <w:b w:val="0"/>
          <w:bCs/>
          <w:color w:val="auto"/>
          <w:kern w:val="0"/>
          <w:sz w:val="32"/>
          <w:szCs w:val="32"/>
          <w:highlight w:val="none"/>
          <w:lang w:val="en-US" w:eastAsia="zh-CN" w:bidi="ar"/>
        </w:rPr>
        <w:t>依托"党建引领+金融赋能"工作机制，深化与战略合作单位的协同联动，综合运用货币政策工具和财政激励措施，重点围绕普惠小微、绿色转型、乡村产业等关键领域，持续优化信贷资源配置，推动绿色金融规模稳步提升。</w:t>
      </w:r>
      <w:r>
        <w:rPr>
          <w:rFonts w:hint="eastAsia" w:ascii="仿宋_GB2312" w:hAnsi="仿宋_GB2312" w:eastAsia="仿宋_GB2312" w:cs="仿宋_GB2312"/>
          <w:color w:val="auto"/>
          <w:kern w:val="0"/>
          <w:sz w:val="32"/>
          <w:szCs w:val="32"/>
          <w:highlight w:val="none"/>
          <w:lang w:val="en-US" w:eastAsia="zh-CN" w:bidi="ar"/>
        </w:rPr>
        <w:t>截至2024年12月末，绿色信贷户数733户，保持持续增长，绿色信贷余额10973.33万元。</w:t>
      </w:r>
      <w:r>
        <w:rPr>
          <w:rFonts w:hint="eastAsia" w:ascii="仿宋_GB2312" w:hAnsi="仿宋_GB2312" w:eastAsia="仿宋_GB2312" w:cs="仿宋_GB2312"/>
          <w:b/>
          <w:color w:val="auto"/>
          <w:kern w:val="0"/>
          <w:sz w:val="32"/>
          <w:szCs w:val="32"/>
          <w:highlight w:val="none"/>
          <w:lang w:val="en-US" w:eastAsia="zh-CN" w:bidi="ar"/>
        </w:rPr>
        <w:t>二是持续深化创新绿色信贷品牌。</w:t>
      </w:r>
      <w:r>
        <w:rPr>
          <w:rFonts w:hint="eastAsia" w:ascii="仿宋_GB2312" w:hAnsi="仿宋_GB2312" w:eastAsia="仿宋_GB2312" w:cs="仿宋_GB2312"/>
          <w:b w:val="0"/>
          <w:bCs/>
          <w:color w:val="auto"/>
          <w:kern w:val="0"/>
          <w:sz w:val="32"/>
          <w:szCs w:val="32"/>
          <w:highlight w:val="none"/>
          <w:lang w:val="en-US" w:eastAsia="zh-CN" w:bidi="ar"/>
        </w:rPr>
        <w:t>积极践行“生态优先、绿色发展”理念，全力支持地方经济绿色低碳转型。针对水产养殖产业升级需求，我们重点打造“福渔贷”绿色信贷品牌，通过专项融资方案助力海上渔排环保改造、藻类养殖设施更新，有效破解传统渔业转型升级中的资金瓶颈问题。目前，我县联社正全面推进蓝色金融与绿色金融的协同发展，相继创新推出“海参宝”仓单质押贷款、渔排托管贷、海参养殖贷等特色产品，构建起覆盖海洋全产业链的绿色金融服务体系，为海洋经济高质量发展注入金融活水。</w:t>
      </w:r>
      <w:r>
        <w:rPr>
          <w:rFonts w:hint="eastAsia" w:ascii="仿宋_GB2312" w:hAnsi="仿宋_GB2312" w:eastAsia="仿宋_GB2312" w:cs="仿宋_GB2312"/>
          <w:b/>
          <w:color w:val="auto"/>
          <w:kern w:val="0"/>
          <w:sz w:val="32"/>
          <w:szCs w:val="32"/>
          <w:highlight w:val="none"/>
          <w:lang w:val="en-US" w:eastAsia="zh-CN" w:bidi="ar"/>
        </w:rPr>
        <w:t>三是绿色工作机制持续完善机构设置方面。</w:t>
      </w:r>
      <w:r>
        <w:rPr>
          <w:rFonts w:hint="eastAsia" w:ascii="仿宋_GB2312" w:hAnsi="仿宋_GB2312" w:eastAsia="仿宋_GB2312" w:cs="仿宋_GB2312"/>
          <w:b w:val="0"/>
          <w:bCs/>
          <w:color w:val="auto"/>
          <w:kern w:val="0"/>
          <w:sz w:val="32"/>
          <w:szCs w:val="32"/>
          <w:highlight w:val="none"/>
          <w:lang w:val="en-US" w:eastAsia="zh-CN" w:bidi="ar"/>
        </w:rPr>
        <w:t>健全绿色金融服务机制,制定了《“十四五”期间推进绿色金融发展的工作方案》，完善绿色金融经营绩效考核体系,将绿色信贷考核指标完成情况纳入年度经营管理绩效考核。</w:t>
      </w:r>
      <w:r>
        <w:rPr>
          <w:rFonts w:hint="eastAsia" w:ascii="仿宋_GB2312" w:hAnsi="仿宋_GB2312" w:eastAsia="仿宋_GB2312" w:cs="仿宋_GB2312"/>
          <w:b/>
          <w:color w:val="auto"/>
          <w:kern w:val="0"/>
          <w:sz w:val="32"/>
          <w:szCs w:val="32"/>
          <w:highlight w:val="none"/>
          <w:lang w:val="en-US" w:eastAsia="zh-CN" w:bidi="ar"/>
        </w:rPr>
        <w:t>四是构建绿色服务体系。</w:t>
      </w:r>
      <w:r>
        <w:rPr>
          <w:rFonts w:hint="eastAsia" w:ascii="仿宋_GB2312" w:hAnsi="仿宋_GB2312" w:eastAsia="仿宋_GB2312" w:cs="仿宋_GB2312"/>
          <w:b w:val="0"/>
          <w:bCs/>
          <w:color w:val="auto"/>
          <w:kern w:val="0"/>
          <w:sz w:val="32"/>
          <w:szCs w:val="32"/>
          <w:highlight w:val="none"/>
          <w:lang w:val="en-US" w:eastAsia="zh-CN" w:bidi="ar"/>
        </w:rPr>
        <w:t>建立绿色信贷审批绿色通道，对绿色贷款实行“优先受理、优先审批、优先放款”，缩短审批效率，提升金融服务质效。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color w:val="auto"/>
          <w:kern w:val="0"/>
          <w:sz w:val="32"/>
          <w:szCs w:val="32"/>
          <w:highlight w:val="none"/>
          <w:lang w:val="en-US" w:eastAsia="zh-CN" w:bidi="ar"/>
        </w:rPr>
      </w:pPr>
      <w:bookmarkStart w:id="10" w:name="_Toc15918_WPSOffice_Level2"/>
      <w:r>
        <w:rPr>
          <w:rFonts w:hint="eastAsia" w:ascii="楷体_GB2312" w:hAnsi="楷体_GB2312" w:eastAsia="楷体_GB2312" w:cs="楷体_GB2312"/>
          <w:b/>
          <w:color w:val="auto"/>
          <w:kern w:val="0"/>
          <w:sz w:val="32"/>
          <w:szCs w:val="32"/>
          <w:highlight w:val="none"/>
          <w:lang w:val="en-US" w:eastAsia="zh-CN" w:bidi="ar"/>
        </w:rPr>
        <w:t>（三）下一年度规划与目标</w:t>
      </w:r>
      <w:bookmarkEnd w:id="10"/>
      <w:bookmarkStart w:id="11" w:name="_Toc30457_WPSOffice_Level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1.持续完善绿色授信全流程管理。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立差异化的绿色授信管理机制，优化客户信用评级体系，严格落实贷款“三查”要求，强化绿色金融业务的全流程风险管控。试点绿色项目快速审批机制，推行贷审会预审模式，精准筛选绿色信贷项目，提升金融服务时效性。</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3" w:firstLineChars="200"/>
        <w:contextualSpacing/>
        <w:textAlignment w:val="baseline"/>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2.持续健全绿色信贷激励约束机制。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将绿色金融业务纳入绩效考核，完善绿色金融服务尽职免责制度，推动辖区绿色金融发展。加强绿色信贷合规管理，不定期开展专项检查与内部审计，对违规问题依规问责，确保政策执行到位。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3" w:firstLineChars="200"/>
        <w:contextualSpacing/>
        <w:textAlignment w:val="baseline"/>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3.强化绿色金融风险防控。</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0" w:firstLineChars="200"/>
        <w:contextualSpacing/>
        <w:textAlignment w:val="baseline"/>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（1）持续完善绿色项目分类管理机制：积极研究制定绿色信贷行业、企业及项目准入标准，实施“绿色清单”动态管理。对国家限制类及高环境社会风险行业，制定专项风控政策，实行风险敞口管控。  </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0" w:firstLineChars="200"/>
        <w:contextualSpacing/>
        <w:textAlignment w:val="baseline"/>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（2）严控高污染、高耗能企业融资：对环保不达标且整改不力的企业，原则上仅支持节能减排相关授信；对落后产能及过剩行业，提前制定信贷压缩与退出计划，防范资产风险。  </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0" w:firstLineChars="200"/>
        <w:contextualSpacing/>
        <w:textAlignment w:val="baseline"/>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加强气候转型风险管理：监测高碳资产因政策调整带来的估值波动及财务风险，完善环境与社会风险的内部报告及追责机制，严格按绿色标准审核项目，确保绿色信贷不良率低于全行平均水平，防范系统性金融风险。</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3" w:firstLineChars="200"/>
        <w:contextualSpacing/>
        <w:textAlignment w:val="baseline"/>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4.打造专业化绿色金融服务团队。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组建“绿色金融专业团队”，通过“内部培训+外部学习”相结合的模式，培养多名具备环境评估、碳核算等专业能力的客户经理，确保每年完成全员“绿色金融基础知识”轮训。同时加强绿色金融宣传，积极参与绿色金融座谈会与宣传活动，提升公众对绿色金融的认知度和参与度。</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0" w:firstLineChars="200"/>
        <w:contextualSpacing/>
        <w:textAlignment w:val="baseline"/>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三、环境相关治理结构</w:t>
      </w:r>
      <w:bookmarkEnd w:id="11"/>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0" w:firstLineChars="200"/>
        <w:contextualSpacing/>
        <w:textAlignment w:val="baseline"/>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建立理事会引领、联社党委领导、机关部门统筹、各网点落实的“四级联动”体系，共同推进我社绿色金融发展。</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3" w:firstLineChars="200"/>
        <w:contextualSpacing/>
        <w:textAlignment w:val="baseline"/>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b/>
          <w:bCs/>
          <w:color w:val="auto"/>
          <w:kern w:val="0"/>
          <w:sz w:val="32"/>
          <w:szCs w:val="32"/>
          <w:highlight w:val="none"/>
          <w:lang w:val="en-US" w:eastAsia="zh-CN" w:bidi="ar"/>
        </w:rPr>
        <w:t>理事会引领：</w:t>
      </w:r>
      <w:r>
        <w:rPr>
          <w:rFonts w:hint="eastAsia" w:ascii="仿宋_GB2312" w:hAnsi="宋体" w:eastAsia="仿宋_GB2312" w:cs="仿宋_GB2312"/>
          <w:color w:val="auto"/>
          <w:kern w:val="0"/>
          <w:sz w:val="32"/>
          <w:szCs w:val="32"/>
          <w:highlight w:val="none"/>
          <w:lang w:val="en-US" w:eastAsia="zh-CN" w:bidi="ar"/>
        </w:rPr>
        <w:t>将绿色金融发展工作纳入理事会战略规划，抓好战略引领，统筹谋划，并将履行社会责任纳入理事会发展战略。联社党委领导：坚持党委对绿色金融改革工作的统一领导，成立以党委“一把手”为组长的绿色金融工作领导小组，结合“党建+金融助理+多社融合”的服务模式，将党建与绿色金融发展同谋划、同部署、同推进。</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3" w:firstLineChars="200"/>
        <w:contextualSpacing/>
        <w:textAlignment w:val="baseline"/>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b/>
          <w:bCs/>
          <w:color w:val="auto"/>
          <w:kern w:val="0"/>
          <w:sz w:val="32"/>
          <w:szCs w:val="32"/>
          <w:highlight w:val="none"/>
          <w:lang w:val="en-US" w:eastAsia="zh-CN" w:bidi="ar"/>
        </w:rPr>
        <w:t>机关部门统筹：</w:t>
      </w:r>
      <w:r>
        <w:rPr>
          <w:rFonts w:hint="eastAsia" w:ascii="仿宋_GB2312" w:hAnsi="宋体" w:eastAsia="仿宋_GB2312" w:cs="仿宋_GB2312"/>
          <w:color w:val="auto"/>
          <w:kern w:val="0"/>
          <w:sz w:val="32"/>
          <w:szCs w:val="32"/>
          <w:highlight w:val="none"/>
          <w:lang w:val="en-US" w:eastAsia="zh-CN" w:bidi="ar"/>
        </w:rPr>
        <w:t>绿色金融工作领导小组下设办公室，挂靠普惠金融部，负责指导、推动、实施全辖绿色金融工作，并定期跟踪监测、通报各项工作进度，确保各项工作落实到位，优化绿色信贷业务流程和制度体系建设，研究和创新绿色金融产品和服务。</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3" w:firstLineChars="200"/>
        <w:contextualSpacing/>
        <w:textAlignment w:val="baseline"/>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b/>
          <w:bCs/>
          <w:color w:val="auto"/>
          <w:kern w:val="0"/>
          <w:sz w:val="32"/>
          <w:szCs w:val="32"/>
          <w:highlight w:val="none"/>
          <w:lang w:val="en-US" w:eastAsia="zh-CN" w:bidi="ar"/>
        </w:rPr>
        <w:t>各网点落实：</w:t>
      </w:r>
      <w:r>
        <w:rPr>
          <w:rFonts w:hint="eastAsia" w:ascii="仿宋_GB2312" w:hAnsi="宋体" w:eastAsia="仿宋_GB2312" w:cs="仿宋_GB2312"/>
          <w:color w:val="auto"/>
          <w:kern w:val="0"/>
          <w:sz w:val="32"/>
          <w:szCs w:val="32"/>
          <w:highlight w:val="none"/>
          <w:lang w:val="en-US" w:eastAsia="zh-CN" w:bidi="ar"/>
        </w:rPr>
        <w:t>设置绿色金融服务窗口，为绿色金融需求提供“三优”服务，开辟绿色金融快速通道，负责落实绿色金融制度，服务绿色金融客户，完成绿色信贷投放。</w:t>
      </w:r>
    </w:p>
    <w:p>
      <w:pPr>
        <w:keepNext w:val="0"/>
        <w:keepLines w:val="0"/>
        <w:pageBreakBefore w:val="0"/>
        <w:widowControl/>
        <w:numPr>
          <w:ilvl w:val="0"/>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0" w:firstLineChars="200"/>
        <w:contextualSpacing/>
        <w:textAlignment w:val="baseline"/>
        <w:rPr>
          <w:rFonts w:hint="eastAsia" w:ascii="黑体" w:hAnsi="宋体" w:eastAsia="黑体" w:cs="黑体"/>
          <w:snapToGrid/>
          <w:color w:val="auto"/>
          <w:kern w:val="0"/>
          <w:sz w:val="32"/>
          <w:szCs w:val="32"/>
          <w:highlight w:val="none"/>
          <w:lang w:val="en-US" w:eastAsia="zh-CN" w:bidi="ar"/>
        </w:rPr>
      </w:pPr>
      <w:r>
        <w:rPr>
          <w:rFonts w:hint="eastAsia" w:ascii="黑体" w:hAnsi="宋体" w:eastAsia="黑体" w:cs="黑体"/>
          <w:snapToGrid/>
          <w:color w:val="auto"/>
          <w:kern w:val="0"/>
          <w:sz w:val="32"/>
          <w:szCs w:val="32"/>
          <w:lang w:val="en-US" w:eastAsia="zh-CN" w:bidi="ar"/>
        </w:rPr>
        <w:t>四、</w:t>
      </w:r>
      <w:r>
        <w:rPr>
          <w:rFonts w:hint="eastAsia" w:ascii="黑体" w:hAnsi="宋体" w:eastAsia="黑体" w:cs="黑体"/>
          <w:snapToGrid/>
          <w:color w:val="auto"/>
          <w:kern w:val="0"/>
          <w:sz w:val="32"/>
          <w:szCs w:val="32"/>
          <w:highlight w:val="none"/>
          <w:lang w:val="en-US" w:eastAsia="zh-CN" w:bidi="ar"/>
        </w:rPr>
        <w:t>环境相关政策制度</w:t>
      </w:r>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960" w:firstLineChars="300"/>
        <w:contextualSpacing/>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社认真贯彻人民银行等7部委《关于构建绿色金融体系的指导意见》（银发〔2016〕228号）、《金融机构环境信息披露指南》、《中国人民银行福建省分行关于推进福建省金融机构环境信息披露工作的通知》（闽银〔2023〕44号）、《宁德银保监分局办公室关于转发2023年普惠和绿色金融试点创新经验复制推广工作方案的通知》（宁银保监办发〔2023〕35号）及省联社有关文件精神，制定本社《“十四五”期间推进绿色金融发展的工作方案》，制定实现“四个不低于”目标，把绿色信贷业务、绿色办公、绿色运营、绿色考核评价等融入业务发展。</w:t>
      </w:r>
      <w:bookmarkStart w:id="12" w:name="_Toc12076_WPSOffice_Level1"/>
    </w:p>
    <w:p>
      <w:pPr>
        <w:keepNext w:val="0"/>
        <w:keepLines w:val="0"/>
        <w:pageBreakBefore w:val="0"/>
        <w:widowControl w:val="0"/>
        <w:numPr>
          <w:ilvl w:val="0"/>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0" w:firstLineChars="200"/>
        <w:contextualSpacing/>
        <w:textAlignment w:val="baseline"/>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五、</w:t>
      </w:r>
      <w:r>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t>环境相关产品与服务创新</w:t>
      </w:r>
      <w:bookmarkEnd w:id="12"/>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3" w:firstLineChars="200"/>
        <w:contextualSpacing/>
        <w:textAlignment w:val="baseline"/>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（一）完善绿色金融服务机制建设。</w:t>
      </w:r>
      <w:r>
        <w:rPr>
          <w:rFonts w:hint="eastAsia" w:ascii="仿宋_GB2312" w:hAnsi="仿宋_GB2312" w:eastAsia="仿宋_GB2312" w:cs="仿宋_GB2312"/>
          <w:b w:val="0"/>
          <w:bCs w:val="0"/>
          <w:kern w:val="2"/>
          <w:sz w:val="32"/>
          <w:szCs w:val="32"/>
          <w:highlight w:val="none"/>
          <w:lang w:val="en-US" w:eastAsia="zh-CN" w:bidi="ar-SA"/>
        </w:rPr>
        <w:t>聚焦县域重点绿色项目融资需求，建立常态化对接机制，提升绿色金融服务的覆盖面和可获得性。围绕</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十四五”规划目标，推动普惠金融与绿色金融深度融合，着力构建组织体系健全、政策配套完善、产品创新活跃、市场运行高效的绿色金融服务体系。通过优化融资结构和扩大服务规模，打造具有县域特色的绿色金融品牌，确保实现“四个不低于、一个大幅提升”发展目标；绿色融资余额整体增速不低于各项贷款平均增速；绿色融资总体增量不低于上年同期水平；绿色融资客户总数（项目数）不低于上年同期水平；绿色融资余额占各项贷款比重每年提升幅度不低于1个百分点。</w:t>
      </w:r>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3" w:firstLineChars="200"/>
        <w:contextualSpacing/>
        <w:textAlignment w:val="baseline"/>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（二）优化绿色金融考核激励机制。</w:t>
      </w:r>
      <w:r>
        <w:rPr>
          <w:rFonts w:hint="eastAsia" w:ascii="仿宋_GB2312" w:hAnsi="仿宋_GB2312" w:eastAsia="仿宋_GB2312" w:cs="仿宋_GB2312"/>
          <w:b w:val="0"/>
          <w:bCs w:val="0"/>
          <w:kern w:val="2"/>
          <w:sz w:val="32"/>
          <w:szCs w:val="32"/>
          <w:highlight w:val="none"/>
          <w:lang w:val="en-US" w:eastAsia="zh-CN" w:bidi="ar-SA"/>
        </w:rPr>
        <w:t>将绿色信贷指标纳入年度绩效考核管理，实施专项督导。建立绿色信贷规模优先保障机制，提供“服务优先、利率优惠、产品优质”的三优政策支持，并将执行情况纳入合规审计范畴。紧密结合县域“生态立县”发展战略，重点支持绿色农业、清洁能源、生态旅游等特色产业，通过金融资源引导产业绿色转型，助力打造“三宜”美丽城市。</w:t>
      </w:r>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3" w:firstLineChars="200"/>
        <w:contextualSpacing/>
        <w:textAlignment w:val="baseline"/>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(三)创新绿色金融产品服务体系。</w:t>
      </w:r>
      <w:r>
        <w:rPr>
          <w:rFonts w:hint="eastAsia" w:ascii="仿宋_GB2312" w:hAnsi="仿宋_GB2312" w:eastAsia="仿宋_GB2312" w:cs="仿宋_GB2312"/>
          <w:b w:val="0"/>
          <w:bCs w:val="0"/>
          <w:kern w:val="2"/>
          <w:sz w:val="32"/>
          <w:szCs w:val="32"/>
          <w:highlight w:val="none"/>
          <w:lang w:val="en-US" w:eastAsia="zh-CN" w:bidi="ar-SA"/>
        </w:rPr>
        <w:t>联合林业主管部门建立林业资源数字化台账，深化“林e贷”产品创新，提升信贷规模。配套开发环境治理专项金融产品，支持生活垃圾源头减量、分类处置和资源化利用项目，改善城乡人居环境质量。</w:t>
      </w:r>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3" w:firstLineChars="200"/>
        <w:contextualSpacing/>
        <w:textAlignment w:val="baseline"/>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bookmarkStart w:id="13" w:name="_Toc9429_WPSOffice_Level1"/>
      <w:r>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t>（四）持续构建绿色金融风险全流程管控体系。</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积极研究制定绿色项目环境效益评估机制，完善贷前环境风险筛查、贷中环保合规审查、贷后环境绩效跟踪的全流程管理。针对高碳行业转型，探索开展环境压力测试。加强与环保部门信息共享，建立环境违法企业“黑名单”制度，确保绿色信贷资产质量持续优于普通贷款平均水平。</w:t>
      </w:r>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0" w:firstLineChars="200"/>
        <w:contextualSpacing/>
        <w:textAlignment w:val="baseline"/>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pPr>
      <w:r>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t>六、环境风险控制流程</w:t>
      </w:r>
      <w:bookmarkEnd w:id="13"/>
      <w:bookmarkStart w:id="14" w:name="_Toc21649_WPSOffice_Level1"/>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0" w:firstLineChars="200"/>
        <w:contextualSpacing/>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坚定贯彻绿色发展理念，制定与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目标相协同的绿色金融发展规划，持续优化治理体系，建立健全绿色金融业务制度规范，构建覆盖全流程的绿色信贷管理体系，将环境与社会风险管控嵌入各业务环节：</w:t>
      </w:r>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0" w:firstLineChars="200"/>
        <w:contextualSpacing/>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贷前评估环节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全面核查客户生产经营及项目建设的能源消耗、污染排放、安全隐患等情况，重点评估其对环境和社会可能产生的影响</w:t>
      </w:r>
      <w:r>
        <w:rPr>
          <w:rFonts w:hint="eastAsia" w:ascii="仿宋_GB2312" w:hAnsi="仿宋_GB2312" w:eastAsia="仿宋_GB2312" w:cs="仿宋_GB2312"/>
          <w:sz w:val="32"/>
          <w:szCs w:val="32"/>
          <w:lang w:eastAsia="zh-CN"/>
        </w:rPr>
        <w:t>。</w:t>
      </w:r>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0" w:firstLineChars="200"/>
        <w:contextualSpacing/>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2.贷中审核环节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将环保合规性作为授信审批的核心要件，对存在环保违法记录、重大污染问题或负面社会影响的客户实行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一票否决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，并在合同条款中明确环境风险管理要求。</w:t>
      </w:r>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0" w:firstLineChars="200"/>
        <w:contextualSpacing/>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3.贷后监测环节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将环境合规作为放款前置条件，将企业环境与社会风险纳入常规贷后检查内容，建立环境风险舆情预警机制，对高风险客户实施差异化贷后管理措施。</w:t>
      </w:r>
    </w:p>
    <w:p>
      <w:pPr>
        <w:keepNext w:val="0"/>
        <w:keepLines w:val="0"/>
        <w:pageBreakBefore w:val="0"/>
        <w:widowControl w:val="0"/>
        <w:numPr>
          <w:ilvl w:val="0"/>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40" w:firstLineChars="200"/>
        <w:contextualSpacing/>
        <w:textAlignment w:val="baseline"/>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七、</w:t>
      </w:r>
      <w:r>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t>经营活动的环境影响及减排措施</w:t>
      </w:r>
      <w:bookmarkEnd w:id="14"/>
      <w:bookmarkStart w:id="15" w:name="_Toc31784_WPSOffice_Level2"/>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3" w:firstLineChars="200"/>
        <w:contextualSpacing/>
        <w:textAlignment w:val="baseline"/>
        <w:rPr>
          <w:rFonts w:hint="eastAsia" w:ascii="仿宋_GB2312" w:hAnsi="仿宋_GB2312" w:eastAsia="仿宋_GB2312" w:cs="仿宋_GB2312"/>
          <w:b/>
          <w:bCs/>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（一）经营环境影响</w:t>
      </w:r>
      <w:bookmarkEnd w:id="15"/>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640" w:firstLineChars="200"/>
        <w:contextualSpacing/>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202</w:t>
      </w:r>
      <w:r>
        <w:rPr>
          <w:rFonts w:hint="eastAsia" w:ascii="仿宋_GB2312" w:hAnsi="仿宋_GB2312" w:cs="仿宋_GB2312"/>
          <w:snapToGrid/>
          <w:color w:val="auto"/>
          <w:kern w:val="2"/>
          <w:sz w:val="32"/>
          <w:szCs w:val="32"/>
          <w:highlight w:val="none"/>
          <w:lang w:val="en-US" w:eastAsia="zh-CN" w:bidi="ar-SA"/>
        </w:rPr>
        <w:t>4</w:t>
      </w:r>
      <w:r>
        <w:rPr>
          <w:rFonts w:hint="eastAsia" w:ascii="仿宋_GB2312" w:hAnsi="仿宋_GB2312" w:eastAsia="仿宋_GB2312" w:cs="仿宋_GB2312"/>
          <w:snapToGrid/>
          <w:color w:val="auto"/>
          <w:kern w:val="2"/>
          <w:sz w:val="32"/>
          <w:szCs w:val="32"/>
          <w:highlight w:val="none"/>
          <w:lang w:val="en-US" w:eastAsia="zh-CN" w:bidi="ar-SA"/>
        </w:rPr>
        <w:t>年，本社自由交通运输工具使用产生的直接碳排放量</w:t>
      </w:r>
      <w:r>
        <w:rPr>
          <w:rFonts w:hint="eastAsia" w:ascii="仿宋_GB2312" w:hAnsi="仿宋_GB2312" w:cs="仿宋_GB2312"/>
          <w:snapToGrid/>
          <w:color w:val="auto"/>
          <w:kern w:val="2"/>
          <w:sz w:val="32"/>
          <w:szCs w:val="32"/>
          <w:highlight w:val="none"/>
          <w:lang w:val="en-US" w:eastAsia="zh-CN" w:bidi="ar-SA"/>
        </w:rPr>
        <w:t>13.31</w:t>
      </w:r>
      <w:r>
        <w:rPr>
          <w:rFonts w:hint="eastAsia" w:ascii="仿宋_GB2312" w:hAnsi="仿宋_GB2312" w:eastAsia="仿宋_GB2312" w:cs="仿宋_GB2312"/>
          <w:snapToGrid/>
          <w:color w:val="auto"/>
          <w:kern w:val="2"/>
          <w:sz w:val="32"/>
          <w:szCs w:val="32"/>
          <w:highlight w:val="none"/>
          <w:lang w:val="en-US" w:eastAsia="zh-CN" w:bidi="ar-SA"/>
        </w:rPr>
        <w:t>吨，消耗水产生的直接碳排放量</w:t>
      </w:r>
      <w:r>
        <w:rPr>
          <w:rFonts w:hint="eastAsia" w:ascii="仿宋_GB2312" w:hAnsi="仿宋_GB2312" w:cs="仿宋_GB2312"/>
          <w:snapToGrid/>
          <w:color w:val="auto"/>
          <w:kern w:val="2"/>
          <w:sz w:val="32"/>
          <w:szCs w:val="32"/>
          <w:highlight w:val="none"/>
          <w:lang w:val="en-US" w:eastAsia="zh-CN" w:bidi="ar-SA"/>
        </w:rPr>
        <w:t>4.93</w:t>
      </w:r>
      <w:r>
        <w:rPr>
          <w:rFonts w:hint="eastAsia" w:ascii="仿宋_GB2312" w:hAnsi="仿宋_GB2312" w:eastAsia="仿宋_GB2312" w:cs="仿宋_GB2312"/>
          <w:snapToGrid/>
          <w:color w:val="auto"/>
          <w:kern w:val="2"/>
          <w:sz w:val="32"/>
          <w:szCs w:val="32"/>
          <w:highlight w:val="none"/>
          <w:lang w:val="en-US" w:eastAsia="zh-CN" w:bidi="ar-SA"/>
        </w:rPr>
        <w:t>吨，直接碳排放量合计</w:t>
      </w:r>
      <w:r>
        <w:rPr>
          <w:rFonts w:hint="eastAsia" w:ascii="仿宋_GB2312" w:hAnsi="仿宋_GB2312" w:cs="仿宋_GB2312"/>
          <w:snapToGrid/>
          <w:color w:val="auto"/>
          <w:kern w:val="2"/>
          <w:sz w:val="32"/>
          <w:szCs w:val="32"/>
          <w:highlight w:val="none"/>
          <w:lang w:val="en-US" w:eastAsia="zh-CN" w:bidi="ar-SA"/>
        </w:rPr>
        <w:t>18.24</w:t>
      </w:r>
      <w:r>
        <w:rPr>
          <w:rFonts w:hint="eastAsia" w:ascii="仿宋_GB2312" w:hAnsi="仿宋_GB2312" w:eastAsia="仿宋_GB2312" w:cs="仿宋_GB2312"/>
          <w:snapToGrid/>
          <w:color w:val="auto"/>
          <w:kern w:val="2"/>
          <w:sz w:val="32"/>
          <w:szCs w:val="32"/>
          <w:highlight w:val="none"/>
          <w:lang w:val="en-US" w:eastAsia="zh-CN" w:bidi="ar-SA"/>
        </w:rPr>
        <w:t>吨；消耗电力产生的间接碳排放量</w:t>
      </w:r>
      <w:r>
        <w:rPr>
          <w:rFonts w:hint="eastAsia" w:ascii="仿宋_GB2312" w:hAnsi="仿宋_GB2312" w:cs="仿宋_GB2312"/>
          <w:snapToGrid/>
          <w:color w:val="auto"/>
          <w:kern w:val="2"/>
          <w:sz w:val="32"/>
          <w:szCs w:val="32"/>
          <w:highlight w:val="none"/>
          <w:lang w:val="en-US" w:eastAsia="zh-CN" w:bidi="ar-SA"/>
        </w:rPr>
        <w:t>804.14</w:t>
      </w:r>
      <w:r>
        <w:rPr>
          <w:rFonts w:hint="eastAsia" w:ascii="仿宋_GB2312" w:hAnsi="仿宋_GB2312" w:eastAsia="仿宋_GB2312" w:cs="仿宋_GB2312"/>
          <w:snapToGrid/>
          <w:color w:val="auto"/>
          <w:kern w:val="2"/>
          <w:sz w:val="32"/>
          <w:szCs w:val="32"/>
          <w:highlight w:val="none"/>
          <w:lang w:val="en-US" w:eastAsia="zh-CN" w:bidi="ar-SA"/>
        </w:rPr>
        <w:t>吨，消耗纸产生的间接碳排放量</w:t>
      </w:r>
      <w:r>
        <w:rPr>
          <w:rFonts w:hint="eastAsia" w:ascii="仿宋_GB2312" w:hAnsi="仿宋_GB2312" w:cs="仿宋_GB2312"/>
          <w:snapToGrid/>
          <w:color w:val="auto"/>
          <w:kern w:val="2"/>
          <w:sz w:val="32"/>
          <w:szCs w:val="32"/>
          <w:highlight w:val="none"/>
          <w:lang w:val="en-US" w:eastAsia="zh-CN" w:bidi="ar-SA"/>
        </w:rPr>
        <w:t>62</w:t>
      </w:r>
      <w:r>
        <w:rPr>
          <w:rFonts w:hint="eastAsia" w:ascii="仿宋_GB2312" w:hAnsi="仿宋_GB2312" w:eastAsia="仿宋_GB2312" w:cs="仿宋_GB2312"/>
          <w:snapToGrid/>
          <w:color w:val="auto"/>
          <w:kern w:val="2"/>
          <w:sz w:val="32"/>
          <w:szCs w:val="32"/>
          <w:highlight w:val="none"/>
          <w:lang w:val="en-US" w:eastAsia="zh-CN" w:bidi="ar-SA"/>
        </w:rPr>
        <w:t>吨，间接碳排放量合</w:t>
      </w:r>
      <w:r>
        <w:rPr>
          <w:rFonts w:hint="eastAsia" w:ascii="仿宋_GB2312" w:hAnsi="仿宋_GB2312" w:cs="仿宋_GB2312"/>
          <w:snapToGrid/>
          <w:color w:val="auto"/>
          <w:kern w:val="2"/>
          <w:sz w:val="32"/>
          <w:szCs w:val="32"/>
          <w:highlight w:val="none"/>
          <w:lang w:val="en-US" w:eastAsia="zh-CN" w:bidi="ar-SA"/>
        </w:rPr>
        <w:t>计866.14</w:t>
      </w:r>
      <w:r>
        <w:rPr>
          <w:rFonts w:hint="eastAsia" w:ascii="仿宋_GB2312" w:hAnsi="仿宋_GB2312" w:eastAsia="仿宋_GB2312" w:cs="仿宋_GB2312"/>
          <w:snapToGrid/>
          <w:color w:val="auto"/>
          <w:kern w:val="2"/>
          <w:sz w:val="32"/>
          <w:szCs w:val="32"/>
          <w:highlight w:val="none"/>
          <w:lang w:val="en-US" w:eastAsia="zh-CN" w:bidi="ar-SA"/>
        </w:rPr>
        <w:t>吨；202</w:t>
      </w:r>
      <w:r>
        <w:rPr>
          <w:rFonts w:hint="eastAsia" w:ascii="仿宋_GB2312" w:hAnsi="仿宋_GB2312" w:cs="仿宋_GB2312"/>
          <w:snapToGrid/>
          <w:color w:val="auto"/>
          <w:kern w:val="2"/>
          <w:sz w:val="32"/>
          <w:szCs w:val="32"/>
          <w:highlight w:val="none"/>
          <w:lang w:val="en-US" w:eastAsia="zh-CN" w:bidi="ar-SA"/>
        </w:rPr>
        <w:t>4</w:t>
      </w:r>
      <w:r>
        <w:rPr>
          <w:rFonts w:hint="eastAsia" w:ascii="仿宋_GB2312" w:hAnsi="仿宋_GB2312" w:eastAsia="仿宋_GB2312" w:cs="仿宋_GB2312"/>
          <w:snapToGrid/>
          <w:color w:val="auto"/>
          <w:kern w:val="2"/>
          <w:sz w:val="32"/>
          <w:szCs w:val="32"/>
          <w:highlight w:val="none"/>
          <w:lang w:val="en-US" w:eastAsia="zh-CN" w:bidi="ar-SA"/>
        </w:rPr>
        <w:t>年碳排放总量</w:t>
      </w:r>
      <w:r>
        <w:rPr>
          <w:rFonts w:hint="eastAsia" w:ascii="仿宋_GB2312" w:hAnsi="仿宋_GB2312" w:cs="仿宋_GB2312"/>
          <w:snapToGrid/>
          <w:color w:val="auto"/>
          <w:kern w:val="2"/>
          <w:sz w:val="32"/>
          <w:szCs w:val="32"/>
          <w:highlight w:val="none"/>
          <w:lang w:val="en-US" w:eastAsia="zh-CN" w:bidi="ar-SA"/>
        </w:rPr>
        <w:t>884.38</w:t>
      </w:r>
      <w:r>
        <w:rPr>
          <w:rFonts w:hint="eastAsia" w:ascii="仿宋_GB2312" w:hAnsi="仿宋_GB2312" w:eastAsia="仿宋_GB2312" w:cs="仿宋_GB2312"/>
          <w:snapToGrid/>
          <w:color w:val="auto"/>
          <w:kern w:val="2"/>
          <w:sz w:val="32"/>
          <w:szCs w:val="32"/>
          <w:highlight w:val="none"/>
          <w:lang w:val="en-US" w:eastAsia="zh-CN" w:bidi="ar-SA"/>
        </w:rPr>
        <w:t>吨，人均碳排放量</w:t>
      </w:r>
      <w:r>
        <w:rPr>
          <w:rFonts w:hint="eastAsia" w:ascii="仿宋_GB2312" w:hAnsi="仿宋_GB2312" w:cs="仿宋_GB2312"/>
          <w:snapToGrid/>
          <w:color w:val="auto"/>
          <w:kern w:val="2"/>
          <w:sz w:val="32"/>
          <w:szCs w:val="32"/>
          <w:highlight w:val="none"/>
          <w:lang w:val="en-US" w:eastAsia="zh-CN" w:bidi="ar-SA"/>
        </w:rPr>
        <w:t>4.15</w:t>
      </w:r>
      <w:r>
        <w:rPr>
          <w:rFonts w:hint="eastAsia" w:ascii="仿宋_GB2312" w:hAnsi="仿宋_GB2312" w:eastAsia="仿宋_GB2312" w:cs="仿宋_GB2312"/>
          <w:snapToGrid/>
          <w:color w:val="auto"/>
          <w:kern w:val="2"/>
          <w:sz w:val="32"/>
          <w:szCs w:val="32"/>
          <w:highlight w:val="none"/>
          <w:lang w:val="en-US" w:eastAsia="zh-CN" w:bidi="ar-SA"/>
        </w:rPr>
        <w:t>吨。</w:t>
      </w:r>
      <w:bookmarkStart w:id="16" w:name="_Toc27340_WPSOffice_Level2"/>
    </w:p>
    <w:p>
      <w:pPr>
        <w:keepNext w:val="0"/>
        <w:keepLines w:val="0"/>
        <w:pageBreakBefore w:val="0"/>
        <w:widowControl w:val="0"/>
        <w:numPr>
          <w:numId w:val="0"/>
        </w:numPr>
        <w:pBdr>
          <w:bottom w:val="single" w:color="FFFFFF" w:sz="4" w:space="26"/>
        </w:pBdr>
        <w:kinsoku/>
        <w:wordWrap/>
        <w:overflowPunct/>
        <w:topLinePunct w:val="0"/>
        <w:autoSpaceDE/>
        <w:autoSpaceDN w:val="0"/>
        <w:bidi w:val="0"/>
        <w:adjustRightInd w:val="0"/>
        <w:snapToGrid w:val="0"/>
        <w:spacing w:beforeAutospacing="0" w:afterAutospacing="0" w:line="560" w:lineRule="exact"/>
        <w:ind w:right="0" w:rightChars="0" w:firstLine="1606" w:firstLineChars="500"/>
        <w:contextualSpacing/>
        <w:jc w:val="both"/>
        <w:textAlignment w:val="baseline"/>
        <w:rPr>
          <w:rFonts w:hint="eastAsia" w:ascii="仿宋_GB2312" w:hAnsi="仿宋_GB2312" w:eastAsia="仿宋_GB2312" w:cs="仿宋_GB2312"/>
          <w:b/>
          <w:bCs/>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【经营活动碳排放与资源消耗情况】</w:t>
      </w:r>
      <w:bookmarkEnd w:id="16"/>
    </w:p>
    <w:tbl>
      <w:tblPr>
        <w:tblStyle w:val="7"/>
        <w:tblW w:w="8408" w:type="dxa"/>
        <w:jc w:val="center"/>
        <w:shd w:val="clear" w:color="auto" w:fill="auto"/>
        <w:tblLayout w:type="fixed"/>
        <w:tblCellMar>
          <w:top w:w="0" w:type="dxa"/>
          <w:left w:w="0" w:type="dxa"/>
          <w:bottom w:w="0" w:type="dxa"/>
          <w:right w:w="0" w:type="dxa"/>
        </w:tblCellMar>
      </w:tblPr>
      <w:tblGrid>
        <w:gridCol w:w="1453"/>
        <w:gridCol w:w="2857"/>
        <w:gridCol w:w="976"/>
        <w:gridCol w:w="1509"/>
        <w:gridCol w:w="1613"/>
      </w:tblGrid>
      <w:tr>
        <w:tblPrEx>
          <w:shd w:val="clear" w:color="auto" w:fill="auto"/>
          <w:tblCellMar>
            <w:top w:w="0" w:type="dxa"/>
            <w:left w:w="0" w:type="dxa"/>
            <w:bottom w:w="0" w:type="dxa"/>
            <w:right w:w="0" w:type="dxa"/>
          </w:tblCellMar>
        </w:tblPrEx>
        <w:trPr>
          <w:trHeight w:val="780" w:hRule="atLeast"/>
          <w:jc w:val="center"/>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报告年度内经营活动产生的资源消耗披露细项单位总量产生碳排放量（吨）</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披露细项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单位</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总量</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产生碳排放量（吨）</w:t>
            </w:r>
          </w:p>
        </w:tc>
      </w:tr>
      <w:tr>
        <w:tblPrEx>
          <w:tblCellMar>
            <w:top w:w="0" w:type="dxa"/>
            <w:left w:w="0" w:type="dxa"/>
            <w:bottom w:w="0" w:type="dxa"/>
            <w:right w:w="0" w:type="dxa"/>
          </w:tblCellMar>
        </w:tblPrEx>
        <w:trPr>
          <w:trHeight w:val="780"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自由交通运输工具使用</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千米</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eastAsia="zh-CN"/>
              </w:rPr>
            </w:pPr>
            <w:r>
              <w:rPr>
                <w:rFonts w:hint="eastAsia" w:asciiTheme="minorEastAsia" w:hAnsiTheme="minorEastAsia" w:cstheme="minorEastAsia"/>
                <w:i w:val="0"/>
                <w:color w:val="000000"/>
                <w:sz w:val="22"/>
                <w:szCs w:val="22"/>
                <w:highlight w:val="none"/>
                <w:u w:val="none"/>
                <w:lang w:val="en-US" w:eastAsia="zh-CN"/>
              </w:rPr>
              <w:t>41583</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13.31</w:t>
            </w:r>
          </w:p>
        </w:tc>
      </w:tr>
      <w:tr>
        <w:tblPrEx>
          <w:tblCellMar>
            <w:top w:w="0" w:type="dxa"/>
            <w:left w:w="0" w:type="dxa"/>
            <w:bottom w:w="0" w:type="dxa"/>
            <w:right w:w="0" w:type="dxa"/>
          </w:tblCellMar>
        </w:tblPrEx>
        <w:trPr>
          <w:trHeight w:val="780"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营业办公活动消耗的水</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吨</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sz w:val="22"/>
                <w:szCs w:val="22"/>
                <w:highlight w:val="none"/>
                <w:u w:val="none"/>
                <w:lang w:val="en-US" w:eastAsia="zh-CN"/>
              </w:rPr>
              <w:t>5415.24</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4.93</w:t>
            </w:r>
          </w:p>
        </w:tc>
      </w:tr>
      <w:tr>
        <w:tblPrEx>
          <w:shd w:val="clear" w:color="auto" w:fill="auto"/>
          <w:tblCellMar>
            <w:top w:w="0" w:type="dxa"/>
            <w:left w:w="0" w:type="dxa"/>
            <w:bottom w:w="0" w:type="dxa"/>
            <w:right w:w="0" w:type="dxa"/>
          </w:tblCellMar>
        </w:tblPrEx>
        <w:trPr>
          <w:trHeight w:val="780"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直接碳排放合计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吨</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18.24</w:t>
            </w:r>
          </w:p>
        </w:tc>
      </w:tr>
      <w:tr>
        <w:tblPrEx>
          <w:tblCellMar>
            <w:top w:w="0" w:type="dxa"/>
            <w:left w:w="0" w:type="dxa"/>
            <w:bottom w:w="0" w:type="dxa"/>
            <w:right w:w="0" w:type="dxa"/>
          </w:tblCellMar>
        </w:tblPrEx>
        <w:trPr>
          <w:trHeight w:val="780"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营业办公活动消耗的电</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兆瓦时</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eastAsia="zh-CN"/>
              </w:rPr>
            </w:pPr>
            <w:r>
              <w:rPr>
                <w:rFonts w:hint="eastAsia" w:asciiTheme="minorEastAsia" w:hAnsiTheme="minorEastAsia" w:cstheme="minorEastAsia"/>
                <w:i w:val="0"/>
                <w:color w:val="000000"/>
                <w:sz w:val="22"/>
                <w:szCs w:val="22"/>
                <w:highlight w:val="none"/>
                <w:u w:val="none"/>
                <w:lang w:val="en-US" w:eastAsia="zh-CN"/>
              </w:rPr>
              <w:t>1517.24</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804.14</w:t>
            </w:r>
          </w:p>
        </w:tc>
      </w:tr>
      <w:tr>
        <w:tblPrEx>
          <w:tblCellMar>
            <w:top w:w="0" w:type="dxa"/>
            <w:left w:w="0" w:type="dxa"/>
            <w:bottom w:w="0" w:type="dxa"/>
            <w:right w:w="0" w:type="dxa"/>
          </w:tblCellMar>
        </w:tblPrEx>
        <w:trPr>
          <w:trHeight w:val="780"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营业办公活动消耗的纸</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吨</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155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62</w:t>
            </w:r>
          </w:p>
        </w:tc>
      </w:tr>
      <w:tr>
        <w:tblPrEx>
          <w:tblCellMar>
            <w:top w:w="0" w:type="dxa"/>
            <w:left w:w="0" w:type="dxa"/>
            <w:bottom w:w="0" w:type="dxa"/>
            <w:right w:w="0" w:type="dxa"/>
          </w:tblCellMar>
        </w:tblPrEx>
        <w:trPr>
          <w:trHeight w:val="780"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间接碳排放合计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吨</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866.14</w:t>
            </w:r>
          </w:p>
        </w:tc>
      </w:tr>
      <w:tr>
        <w:tblPrEx>
          <w:tblCellMar>
            <w:top w:w="0" w:type="dxa"/>
            <w:left w:w="0" w:type="dxa"/>
            <w:bottom w:w="0" w:type="dxa"/>
            <w:right w:w="0" w:type="dxa"/>
          </w:tblCellMar>
        </w:tblPrEx>
        <w:trPr>
          <w:trHeight w:val="780"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碳排放总量</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吨</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884.38</w:t>
            </w:r>
          </w:p>
        </w:tc>
      </w:tr>
      <w:tr>
        <w:tblPrEx>
          <w:shd w:val="clear" w:color="auto" w:fill="auto"/>
          <w:tblCellMar>
            <w:top w:w="0" w:type="dxa"/>
            <w:left w:w="0" w:type="dxa"/>
            <w:bottom w:w="0" w:type="dxa"/>
            <w:right w:w="0" w:type="dxa"/>
          </w:tblCellMar>
        </w:tblPrEx>
        <w:trPr>
          <w:trHeight w:val="780"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highlight w:val="none"/>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人均碳排放量</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吨/人</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highlight w:val="none"/>
                <w:u w:val="none"/>
                <w:lang w:val="en-US"/>
              </w:rPr>
            </w:pPr>
            <w:r>
              <w:rPr>
                <w:rFonts w:hint="eastAsia" w:asciiTheme="minorEastAsia" w:hAnsiTheme="minorEastAsia" w:cstheme="minorEastAsia"/>
                <w:i w:val="0"/>
                <w:color w:val="000000"/>
                <w:kern w:val="0"/>
                <w:sz w:val="22"/>
                <w:szCs w:val="22"/>
                <w:highlight w:val="none"/>
                <w:u w:val="none"/>
                <w:lang w:val="en-US" w:eastAsia="zh-CN" w:bidi="ar"/>
              </w:rPr>
              <w:t>4.15</w:t>
            </w:r>
          </w:p>
        </w:tc>
      </w:tr>
    </w:tbl>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baseline"/>
        <w:rPr>
          <w:rFonts w:hint="eastAsia" w:ascii="仿宋_GB2312" w:hAnsi="仿宋_GB2312" w:cs="仿宋_GB2312"/>
          <w:b/>
          <w:bCs/>
          <w:snapToGrid/>
          <w:color w:val="auto"/>
          <w:kern w:val="2"/>
          <w:sz w:val="32"/>
          <w:szCs w:val="32"/>
          <w:highlight w:val="none"/>
          <w:lang w:val="en-US" w:eastAsia="zh-CN" w:bidi="ar-SA"/>
        </w:rPr>
      </w:pPr>
      <w:bookmarkStart w:id="17" w:name="_Toc15898_WPSOffice_Level2"/>
      <w:r>
        <w:rPr>
          <w:rFonts w:hint="eastAsia" w:ascii="仿宋_GB2312" w:hAnsi="仿宋_GB2312" w:cs="仿宋_GB2312"/>
          <w:b/>
          <w:bCs/>
          <w:snapToGrid/>
          <w:color w:val="auto"/>
          <w:kern w:val="2"/>
          <w:sz w:val="32"/>
          <w:szCs w:val="32"/>
          <w:highlight w:val="none"/>
          <w:lang w:val="en-US" w:eastAsia="zh-CN" w:bidi="ar-SA"/>
        </w:rPr>
        <w:t>（二）节能减排措施</w:t>
      </w:r>
      <w:bookmarkEnd w:id="17"/>
    </w:p>
    <w:p>
      <w:pPr>
        <w:pStyle w:val="10"/>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仿宋_GB2312" w:hAnsi="宋体" w:eastAsia="仿宋_GB2312" w:cs="仿宋_GB2312"/>
          <w:b/>
          <w:color w:val="000000" w:themeColor="text1"/>
          <w:kern w:val="0"/>
          <w:sz w:val="31"/>
          <w:szCs w:val="31"/>
          <w:highlight w:val="none"/>
          <w:lang w:val="en-US" w:eastAsia="zh-CN" w:bidi="ar"/>
          <w14:textFill>
            <w14:solidFill>
              <w14:schemeClr w14:val="tx1"/>
            </w14:solidFill>
          </w14:textFill>
        </w:rPr>
      </w:pPr>
      <w:r>
        <w:rPr>
          <w:rFonts w:hint="eastAsia" w:ascii="仿宋_GB2312" w:hAnsi="仿宋_GB2312" w:cs="仿宋_GB2312"/>
          <w:snapToGrid/>
          <w:color w:val="auto"/>
          <w:kern w:val="2"/>
          <w:sz w:val="32"/>
          <w:szCs w:val="32"/>
          <w:highlight w:val="none"/>
          <w:lang w:val="en-US" w:eastAsia="zh-CN" w:bidi="ar-SA"/>
        </w:rPr>
        <w:t>1.</w:t>
      </w:r>
      <w:r>
        <w:rPr>
          <w:rFonts w:hint="eastAsia" w:ascii="仿宋_GB2312" w:hAnsi="仿宋_GB2312" w:cs="仿宋_GB2312"/>
          <w:b/>
          <w:bCs/>
          <w:snapToGrid/>
          <w:color w:val="auto"/>
          <w:kern w:val="2"/>
          <w:sz w:val="32"/>
          <w:szCs w:val="32"/>
          <w:highlight w:val="none"/>
          <w:lang w:val="en-US" w:eastAsia="zh-CN" w:bidi="ar-SA"/>
        </w:rPr>
        <w:t>全面启动绿色办公、集约化管理工作。</w:t>
      </w:r>
      <w:r>
        <w:rPr>
          <w:rFonts w:hint="eastAsia" w:ascii="仿宋_GB2312" w:hAnsi="仿宋_GB2312" w:cs="仿宋_GB2312"/>
          <w:snapToGrid/>
          <w:color w:val="auto"/>
          <w:kern w:val="2"/>
          <w:sz w:val="32"/>
          <w:szCs w:val="32"/>
          <w:highlight w:val="none"/>
          <w:lang w:val="en-US" w:eastAsia="zh-CN" w:bidi="ar-SA"/>
        </w:rPr>
        <w:t>我社坚持绿色办公、节能环保的理念，根据降本增效工作方案，积极采取节电、减排、节水、节纸等措施，降低运营中的碳排放量和资源消耗。</w:t>
      </w:r>
      <w:bookmarkStart w:id="18" w:name="_Toc23470_WPSOffice_Level2"/>
    </w:p>
    <w:p>
      <w:pPr>
        <w:keepNext w:val="0"/>
        <w:keepLines w:val="0"/>
        <w:pageBreakBefore w:val="0"/>
        <w:widowControl/>
        <w:suppressLineNumbers w:val="0"/>
        <w:kinsoku/>
        <w:wordWrap/>
        <w:overflowPunct/>
        <w:topLinePunct w:val="0"/>
        <w:autoSpaceDE/>
        <w:autoSpaceDN/>
        <w:bidi w:val="0"/>
        <w:adjustRightInd/>
        <w:snapToGrid/>
        <w:spacing w:line="560" w:lineRule="exact"/>
        <w:jc w:val="center"/>
        <w:rPr>
          <w:highlight w:val="none"/>
        </w:rPr>
      </w:pPr>
      <w:r>
        <w:rPr>
          <w:rFonts w:hint="eastAsia" w:ascii="仿宋_GB2312" w:hAnsi="宋体" w:eastAsia="仿宋_GB2312" w:cs="仿宋_GB2312"/>
          <w:b/>
          <w:color w:val="000000" w:themeColor="text1"/>
          <w:kern w:val="0"/>
          <w:sz w:val="31"/>
          <w:szCs w:val="31"/>
          <w:highlight w:val="none"/>
          <w:lang w:val="en-US" w:eastAsia="zh-CN" w:bidi="ar"/>
          <w14:textFill>
            <w14:solidFill>
              <w14:schemeClr w14:val="tx1"/>
            </w14:solidFill>
          </w14:textFill>
        </w:rPr>
        <w:t>【运营活动中节能减排措施】</w:t>
      </w:r>
      <w:bookmarkEnd w:id="18"/>
    </w:p>
    <w:tbl>
      <w:tblPr>
        <w:tblStyle w:val="7"/>
        <w:tblW w:w="8527" w:type="dxa"/>
        <w:tblInd w:w="0" w:type="dxa"/>
        <w:shd w:val="clear" w:color="auto" w:fill="auto"/>
        <w:tblLayout w:type="fixed"/>
        <w:tblCellMar>
          <w:top w:w="0" w:type="dxa"/>
          <w:left w:w="0" w:type="dxa"/>
          <w:bottom w:w="0" w:type="dxa"/>
          <w:right w:w="0" w:type="dxa"/>
        </w:tblCellMar>
      </w:tblPr>
      <w:tblGrid>
        <w:gridCol w:w="2040"/>
        <w:gridCol w:w="6487"/>
      </w:tblGrid>
      <w:tr>
        <w:tblPrEx>
          <w:shd w:val="clear" w:color="auto" w:fill="auto"/>
          <w:tblCellMar>
            <w:top w:w="0" w:type="dxa"/>
            <w:left w:w="0" w:type="dxa"/>
            <w:bottom w:w="0" w:type="dxa"/>
            <w:right w:w="0" w:type="dxa"/>
          </w:tblCellMar>
        </w:tblPrEx>
        <w:trPr>
          <w:trHeight w:val="5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类型</w:t>
            </w:r>
          </w:p>
        </w:tc>
        <w:tc>
          <w:tcPr>
            <w:tcW w:w="6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管理措施</w:t>
            </w:r>
          </w:p>
        </w:tc>
      </w:tr>
      <w:tr>
        <w:tblPrEx>
          <w:shd w:val="clear" w:color="auto" w:fill="auto"/>
          <w:tblCellMar>
            <w:top w:w="0" w:type="dxa"/>
            <w:left w:w="0" w:type="dxa"/>
            <w:bottom w:w="0" w:type="dxa"/>
            <w:right w:w="0" w:type="dxa"/>
          </w:tblCellMar>
        </w:tblPrEx>
        <w:trPr>
          <w:trHeight w:val="285" w:hRule="atLeast"/>
        </w:trPr>
        <w:tc>
          <w:tcPr>
            <w:tcW w:w="85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节电措施</w:t>
            </w:r>
          </w:p>
        </w:tc>
      </w:tr>
      <w:tr>
        <w:tblPrEx>
          <w:shd w:val="clear" w:color="auto" w:fill="auto"/>
          <w:tblCellMar>
            <w:top w:w="0" w:type="dxa"/>
            <w:left w:w="0" w:type="dxa"/>
            <w:bottom w:w="0" w:type="dxa"/>
            <w:right w:w="0" w:type="dxa"/>
          </w:tblCellMar>
        </w:tblPrEx>
        <w:trPr>
          <w:trHeight w:val="7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照明管理</w:t>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照明管理光线充足时，使用自然采光；加班时，关闭部分灯源；日常做到随手关灯，人走灯熄。</w:t>
            </w:r>
          </w:p>
        </w:tc>
      </w:tr>
      <w:tr>
        <w:tblPrEx>
          <w:shd w:val="clear" w:color="auto" w:fill="auto"/>
          <w:tblCellMar>
            <w:top w:w="0" w:type="dxa"/>
            <w:left w:w="0" w:type="dxa"/>
            <w:bottom w:w="0" w:type="dxa"/>
            <w:right w:w="0" w:type="dxa"/>
          </w:tblCellMar>
        </w:tblPrEx>
        <w:trPr>
          <w:trHeight w:val="11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空调管理</w:t>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空调管理根据气温变化调整空调冷暖开放时间，合理设置空调温度，夏季空调温度设置不低于26摄氏度，冬季空调温度设置不高于20摄氏度；工作日开放，非工作日关闭。</w:t>
            </w:r>
          </w:p>
        </w:tc>
      </w:tr>
      <w:tr>
        <w:tblPrEx>
          <w:shd w:val="clear" w:color="auto" w:fill="auto"/>
          <w:tblCellMar>
            <w:top w:w="0" w:type="dxa"/>
            <w:left w:w="0" w:type="dxa"/>
            <w:bottom w:w="0" w:type="dxa"/>
            <w:right w:w="0" w:type="dxa"/>
          </w:tblCellMar>
        </w:tblPrEx>
        <w:trPr>
          <w:trHeight w:val="855"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电器管理</w:t>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电器管理采购电器，在考虑价格因素的同时优先挑选节能省电产品，严禁使用取暖器、电烤炉等耗电设备。</w:t>
            </w:r>
          </w:p>
        </w:tc>
      </w:tr>
      <w:tr>
        <w:tblPrEx>
          <w:shd w:val="clear" w:color="auto" w:fill="auto"/>
          <w:tblCellMar>
            <w:top w:w="0" w:type="dxa"/>
            <w:left w:w="0" w:type="dxa"/>
            <w:bottom w:w="0" w:type="dxa"/>
            <w:right w:w="0" w:type="dxa"/>
          </w:tblCellMar>
        </w:tblPrEx>
        <w:trPr>
          <w:trHeight w:val="855"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电梯管理</w:t>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电梯管理提倡员工短层上下楼办公尽量走楼梯通道，楼间距3层（含3层）以下，尽量步行，减少乘用电梯频次。</w:t>
            </w:r>
          </w:p>
        </w:tc>
      </w:tr>
      <w:tr>
        <w:tblPrEx>
          <w:shd w:val="clear" w:color="auto" w:fill="auto"/>
          <w:tblCellMar>
            <w:top w:w="0" w:type="dxa"/>
            <w:left w:w="0" w:type="dxa"/>
            <w:bottom w:w="0" w:type="dxa"/>
            <w:right w:w="0" w:type="dxa"/>
          </w:tblCellMar>
        </w:tblPrEx>
        <w:trPr>
          <w:trHeight w:val="285" w:hRule="atLeast"/>
        </w:trPr>
        <w:tc>
          <w:tcPr>
            <w:tcW w:w="85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节水措施</w:t>
            </w:r>
          </w:p>
        </w:tc>
      </w:tr>
      <w:tr>
        <w:tblPrEx>
          <w:shd w:val="clear" w:color="auto" w:fill="auto"/>
          <w:tblCellMar>
            <w:top w:w="0" w:type="dxa"/>
            <w:left w:w="0" w:type="dxa"/>
            <w:bottom w:w="0" w:type="dxa"/>
            <w:right w:w="0" w:type="dxa"/>
          </w:tblCellMar>
        </w:tblPrEx>
        <w:trPr>
          <w:trHeight w:val="855"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用水管理</w:t>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用水管理推广使用节水设备，提高水的利用率，加强用水设备日常维护；张贴节约用水提示，随手关闭水龙头。</w:t>
            </w:r>
          </w:p>
        </w:tc>
      </w:tr>
      <w:tr>
        <w:tblPrEx>
          <w:shd w:val="clear" w:color="auto" w:fill="auto"/>
          <w:tblCellMar>
            <w:top w:w="0" w:type="dxa"/>
            <w:left w:w="0" w:type="dxa"/>
            <w:bottom w:w="0" w:type="dxa"/>
            <w:right w:w="0" w:type="dxa"/>
          </w:tblCellMar>
        </w:tblPrEx>
        <w:trPr>
          <w:trHeight w:val="285" w:hRule="atLeast"/>
        </w:trPr>
        <w:tc>
          <w:tcPr>
            <w:tcW w:w="85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节纸措施</w:t>
            </w:r>
          </w:p>
        </w:tc>
      </w:tr>
      <w:tr>
        <w:tblPrEx>
          <w:shd w:val="clear" w:color="auto" w:fill="auto"/>
          <w:tblCellMar>
            <w:top w:w="0" w:type="dxa"/>
            <w:left w:w="0" w:type="dxa"/>
            <w:bottom w:w="0" w:type="dxa"/>
            <w:right w:w="0" w:type="dxa"/>
          </w:tblCellMar>
        </w:tblPrEx>
        <w:trPr>
          <w:trHeight w:val="5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用纸管理</w:t>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用纸管理使用OA办公、协同办公系统，普及移动办公，大力推行“无纸化办公”，减少文件打印。</w:t>
            </w:r>
          </w:p>
        </w:tc>
      </w:tr>
      <w:tr>
        <w:tblPrEx>
          <w:shd w:val="clear" w:color="auto" w:fill="auto"/>
          <w:tblCellMar>
            <w:top w:w="0" w:type="dxa"/>
            <w:left w:w="0" w:type="dxa"/>
            <w:bottom w:w="0" w:type="dxa"/>
            <w:right w:w="0" w:type="dxa"/>
          </w:tblCellMar>
        </w:tblPrEx>
        <w:trPr>
          <w:trHeight w:val="285" w:hRule="atLeast"/>
        </w:trPr>
        <w:tc>
          <w:tcPr>
            <w:tcW w:w="85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减排措施</w:t>
            </w:r>
          </w:p>
        </w:tc>
      </w:tr>
      <w:tr>
        <w:tblPrEx>
          <w:shd w:val="clear" w:color="auto" w:fill="auto"/>
          <w:tblCellMar>
            <w:top w:w="0" w:type="dxa"/>
            <w:left w:w="0" w:type="dxa"/>
            <w:bottom w:w="0" w:type="dxa"/>
            <w:right w:w="0" w:type="dxa"/>
          </w:tblCellMar>
        </w:tblPrEx>
        <w:trPr>
          <w:trHeight w:val="5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车辆管理</w:t>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车辆管理市内出行，尽量采用公共出行方式，非必要不派车，减少公务车辆使用。</w:t>
            </w:r>
          </w:p>
        </w:tc>
      </w:tr>
      <w:tr>
        <w:tblPrEx>
          <w:shd w:val="clear" w:color="auto" w:fill="auto"/>
          <w:tblCellMar>
            <w:top w:w="0" w:type="dxa"/>
            <w:left w:w="0" w:type="dxa"/>
            <w:bottom w:w="0" w:type="dxa"/>
            <w:right w:w="0" w:type="dxa"/>
          </w:tblCellMar>
        </w:tblPrEx>
        <w:trPr>
          <w:trHeight w:val="5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食堂管理</w:t>
            </w:r>
          </w:p>
        </w:tc>
        <w:tc>
          <w:tcPr>
            <w:tcW w:w="6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highlight w:val="none"/>
                <w:u w:val="none"/>
              </w:rPr>
            </w:pPr>
            <w:r>
              <w:rPr>
                <w:rFonts w:hint="eastAsia" w:asciiTheme="minorEastAsia" w:hAnsiTheme="minorEastAsia" w:eastAsiaTheme="minorEastAsia" w:cstheme="minorEastAsia"/>
                <w:i w:val="0"/>
                <w:color w:val="000000"/>
                <w:kern w:val="0"/>
                <w:sz w:val="22"/>
                <w:szCs w:val="22"/>
                <w:highlight w:val="none"/>
                <w:u w:val="none"/>
                <w:lang w:val="en-US" w:eastAsia="zh-CN" w:bidi="ar"/>
              </w:rPr>
              <w:t>食堂管理实行点餐式用餐制；在食堂张贴文明用餐温馨提示，提倡光盘行动，及时制止浪费行为。</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通过各类节能减排措施，并建立监督机制，促进员工形成良好习惯，营造了节约用电（水）、合理用电（水）、安全用电、节约用餐，反对铺张浪费等良好氛围，进一步提升了员工节能环保意识，影响身边人、带动身边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lang w:val="en-US" w:eastAsia="zh-CN" w:bidi="ar"/>
          <w14:textFill>
            <w14:solidFill>
              <w14:schemeClr w14:val="tx1"/>
            </w14:solidFill>
          </w14:textFill>
        </w:rPr>
        <w:t>2.积极开展绿色公益活动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在环保公益方面，我社加大绿色理念培育力度，增强社会对碳中和、绿色金融知识认知，参与创城志愿者、植树造林、城乡垃圾分类等绿色文化主题活动，为美丽社会贡献霞浦农信一份力量。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pPr>
      <w:bookmarkStart w:id="19" w:name="_Toc20776_WPSOffice_Level1"/>
      <w:r>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t>八、投融资活动对气候与环境的影响</w:t>
      </w:r>
      <w:bookmarkEnd w:id="19"/>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color w:val="FF0000"/>
          <w:highlight w:val="none"/>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社积极贯彻国家绿色经济政策，坚持可持续发展理念，坚持低碳经济策略，落实各项绿色办公措施，不断提升电子化业务水平，助力绿色金融发展，履行金融机构的环境责任。树立“绿水青山就是金山银山”的发展理念，坚持优化生态环境，拓宽绿色发展道路，根据本社制定的绿色信贷发展规划，确保绿色信贷业务持续增长。</w:t>
      </w:r>
      <w:r>
        <w:rPr>
          <w:rFonts w:hint="eastAsia" w:ascii="仿宋_GB2312" w:hAnsi="仿宋_GB2312" w:eastAsia="仿宋_GB2312" w:cs="仿宋_GB2312"/>
          <w:color w:val="auto"/>
          <w:kern w:val="0"/>
          <w:sz w:val="32"/>
          <w:szCs w:val="32"/>
          <w:highlight w:val="none"/>
          <w:lang w:val="en-US" w:eastAsia="zh-CN" w:bidi="ar"/>
        </w:rPr>
        <w:t>截至2024年末，绿色信贷余额10973.33万元，占比1.47%，绿色信贷保持持续增长趋势，贷款投向主要为生态环境产业、绿色农业生产等领域</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，本社暂未开办绿色债券业务，暂无大额绿色项目授信贷款。</w:t>
      </w:r>
    </w:p>
    <w:p>
      <w:pPr>
        <w:keepNext w:val="0"/>
        <w:keepLines w:val="0"/>
        <w:widowControl/>
        <w:suppressLineNumbers w:val="0"/>
        <w:jc w:val="center"/>
        <w:rPr>
          <w:rFonts w:hint="eastAsia" w:ascii="仿宋_GB2312" w:hAnsi="宋体" w:eastAsia="仿宋_GB2312" w:cs="仿宋_GB2312"/>
          <w:b/>
          <w:color w:val="000000" w:themeColor="text1"/>
          <w:kern w:val="0"/>
          <w:sz w:val="31"/>
          <w:szCs w:val="31"/>
          <w:highlight w:val="none"/>
          <w:lang w:val="en-US" w:eastAsia="zh-CN" w:bidi="ar"/>
          <w14:textFill>
            <w14:solidFill>
              <w14:schemeClr w14:val="tx1"/>
            </w14:solidFill>
          </w14:textFill>
        </w:rPr>
      </w:pPr>
      <w:bookmarkStart w:id="20" w:name="_Toc25476_WPSOffice_Level2"/>
      <w:r>
        <w:rPr>
          <w:rFonts w:hint="eastAsia" w:ascii="仿宋_GB2312" w:hAnsi="宋体" w:eastAsia="仿宋_GB2312" w:cs="仿宋_GB2312"/>
          <w:b/>
          <w:color w:val="000000" w:themeColor="text1"/>
          <w:kern w:val="0"/>
          <w:sz w:val="31"/>
          <w:szCs w:val="31"/>
          <w:highlight w:val="none"/>
          <w:lang w:val="en-US" w:eastAsia="zh-CN" w:bidi="ar"/>
          <w14:textFill>
            <w14:solidFill>
              <w14:schemeClr w14:val="tx1"/>
            </w14:solidFill>
          </w14:textFill>
        </w:rPr>
        <w:t>【</w:t>
      </w:r>
      <w:r>
        <w:rPr>
          <w:rFonts w:hint="eastAsia" w:ascii="仿宋_GB2312" w:hAnsi="宋体" w:eastAsia="仿宋_GB2312" w:cs="仿宋_GB2312"/>
          <w:b/>
          <w:color w:val="000000" w:themeColor="text1"/>
          <w:kern w:val="0"/>
          <w:sz w:val="28"/>
          <w:szCs w:val="28"/>
          <w:highlight w:val="none"/>
          <w:lang w:val="en-US" w:eastAsia="zh-CN" w:bidi="ar"/>
          <w14:textFill>
            <w14:solidFill>
              <w14:schemeClr w14:val="tx1"/>
            </w14:solidFill>
          </w14:textFill>
        </w:rPr>
        <w:t>投融资活动对气候与环境的影响</w:t>
      </w:r>
      <w:r>
        <w:rPr>
          <w:rFonts w:hint="eastAsia" w:ascii="仿宋_GB2312" w:hAnsi="宋体" w:eastAsia="仿宋_GB2312" w:cs="仿宋_GB2312"/>
          <w:b/>
          <w:color w:val="000000" w:themeColor="text1"/>
          <w:kern w:val="0"/>
          <w:sz w:val="31"/>
          <w:szCs w:val="31"/>
          <w:highlight w:val="none"/>
          <w:lang w:val="en-US" w:eastAsia="zh-CN" w:bidi="ar"/>
          <w14:textFill>
            <w14:solidFill>
              <w14:schemeClr w14:val="tx1"/>
            </w14:solidFill>
          </w14:textFill>
        </w:rPr>
        <w:t>】</w:t>
      </w:r>
      <w:bookmarkEnd w:id="20"/>
    </w:p>
    <w:tbl>
      <w:tblPr>
        <w:tblStyle w:val="8"/>
        <w:tblW w:w="912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7"/>
        <w:gridCol w:w="324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tcPr>
          <w:p>
            <w:pPr>
              <w:pStyle w:val="10"/>
              <w:ind w:firstLine="934" w:firstLineChars="300"/>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仿宋_GB2312" w:hAnsi="宋体" w:cs="仿宋_GB2312"/>
                <w:b/>
                <w:color w:val="000000" w:themeColor="text1"/>
                <w:kern w:val="0"/>
                <w:sz w:val="31"/>
                <w:szCs w:val="31"/>
                <w:highlight w:val="none"/>
                <w:vertAlign w:val="baseline"/>
                <w:lang w:val="en-US" w:eastAsia="zh-CN" w:bidi="ar"/>
                <w14:textFill>
                  <w14:solidFill>
                    <w14:schemeClr w14:val="tx1"/>
                  </w14:solidFill>
                </w14:textFill>
              </w:rPr>
              <w:t>指标名称</w:t>
            </w:r>
          </w:p>
        </w:tc>
        <w:tc>
          <w:tcPr>
            <w:tcW w:w="3247" w:type="dxa"/>
          </w:tcPr>
          <w:p>
            <w:pPr>
              <w:pStyle w:val="10"/>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仿宋_GB2312" w:hAnsi="宋体" w:cs="仿宋_GB2312"/>
                <w:b/>
                <w:color w:val="000000" w:themeColor="text1"/>
                <w:kern w:val="0"/>
                <w:sz w:val="31"/>
                <w:szCs w:val="31"/>
                <w:highlight w:val="none"/>
                <w:vertAlign w:val="baseline"/>
                <w:lang w:val="en-US" w:eastAsia="zh-CN" w:bidi="ar"/>
                <w14:textFill>
                  <w14:solidFill>
                    <w14:schemeClr w14:val="tx1"/>
                  </w14:solidFill>
                </w14:textFill>
              </w:rPr>
              <w:t>披露细项</w:t>
            </w:r>
          </w:p>
        </w:tc>
        <w:tc>
          <w:tcPr>
            <w:tcW w:w="2219" w:type="dxa"/>
          </w:tcPr>
          <w:p>
            <w:pPr>
              <w:pStyle w:val="10"/>
              <w:ind w:left="0" w:leftChars="0" w:firstLine="311" w:firstLineChars="100"/>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仿宋_GB2312" w:hAnsi="宋体" w:cs="仿宋_GB2312"/>
                <w:b/>
                <w:color w:val="000000" w:themeColor="text1"/>
                <w:kern w:val="0"/>
                <w:sz w:val="31"/>
                <w:szCs w:val="31"/>
                <w:highlight w:val="none"/>
                <w:vertAlign w:val="baseline"/>
                <w:lang w:val="en-US" w:eastAsia="zh-CN" w:bidi="ar"/>
                <w14:textFill>
                  <w14:solidFill>
                    <w14:schemeClr w14:val="tx1"/>
                  </w14:solidFill>
                </w14:textFill>
              </w:rPr>
              <w:t>披露数据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vMerge w:val="restart"/>
            <w:vAlign w:val="center"/>
          </w:tcPr>
          <w:p>
            <w:pPr>
              <w:keepNext w:val="0"/>
              <w:keepLines w:val="0"/>
              <w:widowControl/>
              <w:suppressLineNumbers w:val="0"/>
              <w:jc w:val="center"/>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绿色贷款余额及占比</w:t>
            </w:r>
          </w:p>
        </w:tc>
        <w:tc>
          <w:tcPr>
            <w:tcW w:w="3247" w:type="dxa"/>
            <w:vAlign w:val="center"/>
          </w:tcPr>
          <w:p>
            <w:pPr>
              <w:keepNext w:val="0"/>
              <w:keepLines w:val="0"/>
              <w:widowControl/>
              <w:suppressLineNumbers w:val="0"/>
              <w:jc w:val="both"/>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绿色贷款余额及占比</w:t>
            </w:r>
          </w:p>
        </w:tc>
        <w:tc>
          <w:tcPr>
            <w:tcW w:w="2219" w:type="dxa"/>
            <w:vAlign w:val="center"/>
          </w:tcPr>
          <w:p>
            <w:pPr>
              <w:pStyle w:val="10"/>
              <w:jc w:val="left"/>
              <w:rPr>
                <w:rFonts w:hint="default" w:ascii="仿宋_GB2312" w:hAnsi="宋体" w:eastAsia="仿宋_GB2312" w:cs="仿宋_GB2312"/>
                <w:b/>
                <w:color w:val="auto"/>
                <w:kern w:val="0"/>
                <w:sz w:val="24"/>
                <w:szCs w:val="24"/>
                <w:highlight w:val="none"/>
                <w:vertAlign w:val="baseline"/>
                <w:lang w:val="en-US" w:eastAsia="zh-CN" w:bidi="ar"/>
              </w:rPr>
            </w:pPr>
            <w:r>
              <w:rPr>
                <w:rFonts w:hint="eastAsia" w:ascii="仿宋_GB2312" w:hAnsi="宋体" w:cs="仿宋_GB2312"/>
                <w:b w:val="0"/>
                <w:bCs w:val="0"/>
                <w:color w:val="auto"/>
                <w:kern w:val="0"/>
                <w:sz w:val="24"/>
                <w:szCs w:val="24"/>
                <w:highlight w:val="none"/>
                <w:lang w:val="en-US" w:eastAsia="zh-CN" w:bidi="ar"/>
              </w:rPr>
              <w:t>1.47</w:t>
            </w:r>
            <w:r>
              <w:rPr>
                <w:rFonts w:hint="eastAsia" w:ascii="仿宋_GB2312" w:hAnsi="宋体" w:cs="仿宋_GB2312"/>
                <w:b w:val="0"/>
                <w:bCs w:val="0"/>
                <w:color w:val="auto"/>
                <w:kern w:val="0"/>
                <w:sz w:val="24"/>
                <w:szCs w:val="24"/>
                <w:highlight w:val="none"/>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vMerge w:val="continue"/>
          </w:tcPr>
          <w:p>
            <w:pPr>
              <w:pStyle w:val="10"/>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p>
        </w:tc>
        <w:tc>
          <w:tcPr>
            <w:tcW w:w="3247" w:type="dxa"/>
            <w:vAlign w:val="center"/>
          </w:tcPr>
          <w:p>
            <w:pPr>
              <w:pStyle w:val="10"/>
              <w:ind w:left="0" w:leftChars="0" w:firstLine="0" w:firstLineChars="0"/>
              <w:jc w:val="both"/>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绿色贷款余额（万元）</w:t>
            </w:r>
          </w:p>
        </w:tc>
        <w:tc>
          <w:tcPr>
            <w:tcW w:w="2219" w:type="dxa"/>
            <w:vAlign w:val="center"/>
          </w:tcPr>
          <w:p>
            <w:pPr>
              <w:pStyle w:val="10"/>
              <w:jc w:val="left"/>
              <w:rPr>
                <w:rFonts w:hint="default" w:ascii="仿宋_GB2312" w:hAnsi="宋体" w:eastAsia="仿宋_GB2312" w:cs="仿宋_GB2312"/>
                <w:b/>
                <w:color w:val="auto"/>
                <w:kern w:val="0"/>
                <w:sz w:val="24"/>
                <w:szCs w:val="24"/>
                <w:highlight w:val="none"/>
                <w:vertAlign w:val="baseline"/>
                <w:lang w:val="en-US" w:eastAsia="zh-CN" w:bidi="ar"/>
              </w:rPr>
            </w:pPr>
            <w:r>
              <w:rPr>
                <w:rFonts w:hint="eastAsia" w:ascii="仿宋_GB2312" w:hAnsi="宋体" w:cs="仿宋_GB2312"/>
                <w:color w:val="auto"/>
                <w:kern w:val="0"/>
                <w:sz w:val="24"/>
                <w:szCs w:val="24"/>
                <w:highlight w:val="none"/>
                <w:lang w:val="en-US" w:eastAsia="zh-CN" w:bidi="ar"/>
              </w:rPr>
              <w:t>10973.33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vMerge w:val="restart"/>
            <w:vAlign w:val="center"/>
          </w:tcPr>
          <w:p>
            <w:pPr>
              <w:keepNext w:val="0"/>
              <w:keepLines w:val="0"/>
              <w:widowControl/>
              <w:suppressLineNumbers w:val="0"/>
              <w:jc w:val="center"/>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持有绿色债券余额及折合减排情况</w:t>
            </w:r>
          </w:p>
        </w:tc>
        <w:tc>
          <w:tcPr>
            <w:tcW w:w="3247" w:type="dxa"/>
            <w:vAlign w:val="center"/>
          </w:tcPr>
          <w:p>
            <w:pPr>
              <w:keepNext w:val="0"/>
              <w:keepLines w:val="0"/>
              <w:widowControl/>
              <w:suppressLineNumbers w:val="0"/>
              <w:jc w:val="left"/>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持有绿色债券余额及折合减排情况</w:t>
            </w:r>
          </w:p>
        </w:tc>
        <w:tc>
          <w:tcPr>
            <w:tcW w:w="2219" w:type="dxa"/>
            <w:vAlign w:val="center"/>
          </w:tcPr>
          <w:p>
            <w:pPr>
              <w:pStyle w:val="10"/>
              <w:ind w:firstLine="720" w:firstLineChars="300"/>
              <w:jc w:val="left"/>
              <w:rPr>
                <w:rFonts w:hint="default" w:ascii="仿宋_GB2312" w:hAnsi="宋体" w:eastAsia="仿宋_GB2312" w:cs="仿宋_GB2312"/>
                <w:b w:val="0"/>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_GB2312" w:hAnsi="宋体" w:cs="仿宋_GB2312"/>
                <w:b w:val="0"/>
                <w:bCs/>
                <w:color w:val="000000" w:themeColor="text1"/>
                <w:kern w:val="0"/>
                <w:sz w:val="24"/>
                <w:szCs w:val="24"/>
                <w:highlight w:val="none"/>
                <w:vertAlign w:val="baseline"/>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vMerge w:val="continue"/>
          </w:tcPr>
          <w:p>
            <w:pPr>
              <w:pStyle w:val="10"/>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p>
        </w:tc>
        <w:tc>
          <w:tcPr>
            <w:tcW w:w="3247" w:type="dxa"/>
            <w:vAlign w:val="center"/>
          </w:tcPr>
          <w:p>
            <w:pPr>
              <w:pStyle w:val="10"/>
              <w:ind w:left="0" w:leftChars="0" w:firstLine="0" w:firstLineChars="0"/>
              <w:jc w:val="both"/>
              <w:rPr>
                <w:rFonts w:hint="eastAsia" w:ascii="仿宋_GB2312" w:hAnsi="宋体" w:eastAsia="仿宋_GB2312" w:cs="仿宋_GB2312"/>
                <w:b/>
                <w:color w:val="000000" w:themeColor="text1"/>
                <w:kern w:val="0"/>
                <w:sz w:val="31"/>
                <w:szCs w:val="3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折合减排二氧化碳当量（吨）</w:t>
            </w:r>
          </w:p>
        </w:tc>
        <w:tc>
          <w:tcPr>
            <w:tcW w:w="2219" w:type="dxa"/>
            <w:vAlign w:val="center"/>
          </w:tcPr>
          <w:p>
            <w:pPr>
              <w:pStyle w:val="10"/>
              <w:ind w:firstLine="720" w:firstLineChars="300"/>
              <w:jc w:val="left"/>
              <w:rPr>
                <w:rFonts w:hint="default" w:ascii="仿宋_GB2312" w:hAnsi="宋体" w:eastAsia="仿宋_GB2312" w:cs="仿宋_GB2312"/>
                <w:b w:val="0"/>
                <w:bCs/>
                <w:color w:val="000000" w:themeColor="text1"/>
                <w:kern w:val="0"/>
                <w:sz w:val="24"/>
                <w:szCs w:val="24"/>
                <w:highlight w:val="none"/>
                <w:vertAlign w:val="baseline"/>
                <w:lang w:val="en-US" w:eastAsia="zh-CN" w:bidi="ar"/>
                <w14:textFill>
                  <w14:solidFill>
                    <w14:schemeClr w14:val="tx1"/>
                  </w14:solidFill>
                </w14:textFill>
              </w:rPr>
            </w:pPr>
            <w:r>
              <w:rPr>
                <w:rFonts w:hint="eastAsia" w:ascii="仿宋_GB2312" w:hAnsi="宋体" w:cs="仿宋_GB2312"/>
                <w:b w:val="0"/>
                <w:bCs/>
                <w:color w:val="000000" w:themeColor="text1"/>
                <w:kern w:val="0"/>
                <w:sz w:val="24"/>
                <w:szCs w:val="24"/>
                <w:highlight w:val="none"/>
                <w:vertAlign w:val="baseline"/>
                <w:lang w:val="en-US" w:eastAsia="zh-CN" w:bidi="ar"/>
                <w14:textFill>
                  <w14:solidFill>
                    <w14:schemeClr w14:val="tx1"/>
                  </w14:solidFill>
                </w14:textFill>
              </w:rPr>
              <w:t>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pPr>
      <w:bookmarkStart w:id="21" w:name="_Toc25476_WPSOffice_Level1"/>
      <w:r>
        <w:rPr>
          <w:rFonts w:hint="eastAsia" w:ascii="黑体" w:hAnsi="宋体" w:eastAsia="黑体" w:cs="黑体"/>
          <w:color w:val="000000" w:themeColor="text1"/>
          <w:kern w:val="0"/>
          <w:sz w:val="32"/>
          <w:szCs w:val="32"/>
          <w:lang w:val="en-US" w:eastAsia="zh-CN" w:bidi="ar"/>
          <w14:textFill>
            <w14:solidFill>
              <w14:schemeClr w14:val="tx1"/>
            </w14:solidFill>
          </w14:textFill>
        </w:rPr>
        <w:t>九、</w:t>
      </w:r>
      <w:r>
        <w:rPr>
          <w:rFonts w:hint="eastAsia" w:ascii="黑体" w:hAnsi="宋体" w:eastAsia="黑体" w:cs="黑体"/>
          <w:color w:val="000000" w:themeColor="text1"/>
          <w:kern w:val="0"/>
          <w:sz w:val="32"/>
          <w:szCs w:val="32"/>
          <w:highlight w:val="none"/>
          <w:lang w:val="en-US" w:eastAsia="zh-CN" w:bidi="ar"/>
          <w14:textFill>
            <w14:solidFill>
              <w14:schemeClr w14:val="tx1"/>
            </w14:solidFill>
          </w14:textFill>
        </w:rPr>
        <w:t>未来展望</w:t>
      </w:r>
      <w:bookmarkEnd w:id="21"/>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绿色金融是助力乡村振兴的根本，本社将持续贯彻绿色金融发展战略，依托霞浦县拥有丰富的山海资源和优美的生态环境，将绿色发展理念贯穿到业务经营发展各环节，坚持以更高站位、更大力度、更实举措精准赋能绿色金融发展，为守护绿水青山展现更大作为、贡献更多力量。</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一）助推传统产业绿色转型发展。</w:t>
      </w:r>
      <w:r>
        <w:rPr>
          <w:rFonts w:hint="eastAsia" w:ascii="仿宋_GB2312" w:hAnsi="仿宋_GB2312" w:eastAsia="仿宋_GB2312" w:cs="仿宋_GB2312"/>
          <w:b w:val="0"/>
          <w:bCs w:val="0"/>
          <w:sz w:val="32"/>
          <w:szCs w:val="32"/>
          <w:lang w:val="en-US" w:eastAsia="zh-CN"/>
        </w:rPr>
        <w:t>聚焦钢铁、电力、建材等重点行业转型升级需求，建立基于节能减排成效的差异化信贷政策，引导企业提升能效水平。支持现代物流、文旅康养等绿色服务业集群，支持产业园区循环化改造及“三废”综合治理，打造安全高效、低碳循环的现代化产业体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sz w:val="32"/>
          <w:szCs w:val="32"/>
        </w:rPr>
      </w:pPr>
      <w:bookmarkStart w:id="22" w:name="bookmark16"/>
      <w:bookmarkEnd w:id="22"/>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强化生态环境建设金融保障</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val="0"/>
          <w:bCs w:val="0"/>
          <w:color w:val="000000"/>
          <w:sz w:val="32"/>
          <w:szCs w:val="32"/>
        </w:rPr>
        <w:t>围绕生态系统保护修复重点工程，加大金融支持力度。优先保障水环境治理、海绵城市建设、智慧城市发展等领域融资需求，重点支持城乡环境综合整治、垃圾资源化利用等项目建设，持续改善区域生态环境质量。</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lang w:eastAsia="zh-CN"/>
        </w:rPr>
        <w:t>）创新绿色农业金融服务。</w:t>
      </w:r>
      <w:r>
        <w:rPr>
          <w:rFonts w:hint="eastAsia" w:ascii="仿宋_GB2312" w:hAnsi="仿宋_GB2312" w:eastAsia="仿宋_GB2312" w:cs="仿宋_GB2312"/>
          <w:b w:val="0"/>
          <w:bCs w:val="0"/>
          <w:color w:val="000000"/>
          <w:sz w:val="32"/>
          <w:szCs w:val="32"/>
          <w:lang w:eastAsia="zh-CN"/>
        </w:rPr>
        <w:t>加大对“三品一标”农产品</w:t>
      </w:r>
      <w:r>
        <w:rPr>
          <w:rFonts w:hint="eastAsia" w:ascii="仿宋_GB2312" w:hAnsi="仿宋_GB2312" w:eastAsia="仿宋_GB2312" w:cs="仿宋_GB2312"/>
          <w:b w:val="0"/>
          <w:bCs w:val="0"/>
          <w:color w:val="000000"/>
          <w:sz w:val="32"/>
          <w:szCs w:val="32"/>
          <w:lang w:val="en-US" w:eastAsia="zh-CN"/>
        </w:rPr>
        <w:t>和“</w:t>
      </w:r>
      <w:r>
        <w:rPr>
          <w:rFonts w:hint="eastAsia" w:ascii="仿宋_GB2312" w:hAnsi="仿宋_GB2312" w:eastAsia="仿宋_GB2312" w:cs="仿宋_GB2312"/>
          <w:b w:val="0"/>
          <w:bCs w:val="0"/>
          <w:color w:val="000000"/>
          <w:sz w:val="32"/>
          <w:szCs w:val="32"/>
          <w:lang w:eastAsia="zh-CN"/>
        </w:rPr>
        <w:t>8+1”特色农业产业</w:t>
      </w:r>
      <w:r>
        <w:rPr>
          <w:rFonts w:hint="eastAsia" w:ascii="仿宋_GB2312" w:hAnsi="仿宋_GB2312" w:eastAsia="仿宋_GB2312" w:cs="仿宋_GB2312"/>
          <w:b w:val="0"/>
          <w:bCs w:val="0"/>
          <w:color w:val="000000"/>
          <w:sz w:val="32"/>
          <w:szCs w:val="32"/>
          <w:lang w:val="en-US" w:eastAsia="zh-CN"/>
        </w:rPr>
        <w:t>的</w:t>
      </w:r>
      <w:r>
        <w:rPr>
          <w:rFonts w:hint="eastAsia" w:ascii="仿宋_GB2312" w:hAnsi="仿宋_GB2312" w:eastAsia="仿宋_GB2312" w:cs="仿宋_GB2312"/>
          <w:b w:val="0"/>
          <w:bCs w:val="0"/>
          <w:color w:val="000000"/>
          <w:sz w:val="32"/>
          <w:szCs w:val="32"/>
          <w:lang w:eastAsia="zh-CN"/>
        </w:rPr>
        <w:t>金融支持</w:t>
      </w:r>
      <w:r>
        <w:rPr>
          <w:rFonts w:hint="eastAsia" w:ascii="仿宋_GB2312" w:hAnsi="仿宋_GB2312" w:eastAsia="仿宋_GB2312" w:cs="仿宋_GB2312"/>
          <w:b w:val="0"/>
          <w:bCs w:val="0"/>
          <w:color w:val="000000"/>
          <w:sz w:val="32"/>
          <w:szCs w:val="32"/>
          <w:lang w:val="en-US" w:eastAsia="zh-CN"/>
        </w:rPr>
        <w:t>力度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支持</w:t>
      </w:r>
      <w:r>
        <w:rPr>
          <w:rFonts w:hint="eastAsia" w:ascii="仿宋_GB2312" w:hAnsi="仿宋_GB2312" w:eastAsia="仿宋_GB2312" w:cs="仿宋_GB2312"/>
          <w:b w:val="0"/>
          <w:bCs w:val="0"/>
          <w:color w:val="000000"/>
          <w:sz w:val="32"/>
          <w:szCs w:val="32"/>
          <w:lang w:eastAsia="zh-CN"/>
        </w:rPr>
        <w:t>发展生态种养、循环农业等绿色模式，提升农业废弃物资源化利用水平。探索建立绿色农业金融标准体系，推动绿色金融与普惠金融协同发展。</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lang w:eastAsia="zh-CN"/>
        </w:rPr>
        <w:t>）培育绿色消费市场</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创新绿色消费金融产品，重点支持新能源汽车、绿色家电、节能建材等绿色产品消费，促进可再生能源设备推广应用，引导形成绿色低碳生活方式。</w:t>
      </w:r>
    </w:p>
    <w:p>
      <w:pPr>
        <w:keepNext w:val="0"/>
        <w:keepLines w:val="0"/>
        <w:pageBreakBefore w:val="0"/>
        <w:widowControl/>
        <w:pBdr>
          <w:bottom w:val="single" w:color="FFFFFF" w:sz="4" w:space="26"/>
        </w:pBdr>
        <w:kinsoku/>
        <w:wordWrap/>
        <w:overflowPunct/>
        <w:topLinePunct w:val="0"/>
        <w:autoSpaceDE/>
        <w:autoSpaceDN w:val="0"/>
        <w:bidi w:val="0"/>
        <w:adjustRightInd w:val="0"/>
        <w:snapToGrid w:val="0"/>
        <w:spacing w:beforeAutospacing="0" w:afterAutospacing="0" w:line="560" w:lineRule="exact"/>
        <w:ind w:left="0" w:leftChars="0" w:right="0" w:rightChars="0" w:firstLine="622" w:firstLineChars="200"/>
        <w:contextualSpacing/>
        <w:textAlignment w:val="baseline"/>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highlight w:val="none"/>
          <w:lang w:val="en-US" w:eastAsia="zh-CN" w:bidi="ar"/>
          <w14:textFill>
            <w14:solidFill>
              <w14:schemeClr w14:val="tx1"/>
            </w14:solidFill>
          </w14:textFill>
        </w:rPr>
        <w:t>（五）深化绿色金融科技应用与创新。</w:t>
      </w: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加快推进金融科技与绿色金融深度融合，运用大数据、区块链、人工智能等技术手段，构建绿色金融智能风控体系，开发环境效益监测评估系统。推动绿色供应链金融平台建设，实现企业环境信息共享和绿色信用评价，打造"科技+绿色+金融"的创新服务模式。</w:t>
      </w:r>
    </w:p>
    <w:p>
      <w:pPr>
        <w:pStyle w:val="10"/>
        <w:rPr>
          <w:rFonts w:hint="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1EB2"/>
    <w:rsid w:val="00AC195A"/>
    <w:rsid w:val="01534F64"/>
    <w:rsid w:val="03600D99"/>
    <w:rsid w:val="04B21D13"/>
    <w:rsid w:val="06753836"/>
    <w:rsid w:val="08531FC8"/>
    <w:rsid w:val="087010E6"/>
    <w:rsid w:val="0CC72005"/>
    <w:rsid w:val="0CCD48BE"/>
    <w:rsid w:val="0E49338F"/>
    <w:rsid w:val="0F262DE9"/>
    <w:rsid w:val="0F607C6B"/>
    <w:rsid w:val="0FC141FE"/>
    <w:rsid w:val="12681148"/>
    <w:rsid w:val="1410457B"/>
    <w:rsid w:val="18B8291A"/>
    <w:rsid w:val="18F40581"/>
    <w:rsid w:val="1B340AB0"/>
    <w:rsid w:val="1BB6768E"/>
    <w:rsid w:val="1D461794"/>
    <w:rsid w:val="1E1778EF"/>
    <w:rsid w:val="1FCC4C52"/>
    <w:rsid w:val="20BD4F1E"/>
    <w:rsid w:val="24B76319"/>
    <w:rsid w:val="25523339"/>
    <w:rsid w:val="25A94457"/>
    <w:rsid w:val="25B07665"/>
    <w:rsid w:val="25C83B6A"/>
    <w:rsid w:val="268D24CB"/>
    <w:rsid w:val="29A07D00"/>
    <w:rsid w:val="2C757F93"/>
    <w:rsid w:val="2E560813"/>
    <w:rsid w:val="2E78639A"/>
    <w:rsid w:val="2E814EDA"/>
    <w:rsid w:val="2EC02441"/>
    <w:rsid w:val="31511475"/>
    <w:rsid w:val="31702200"/>
    <w:rsid w:val="31964168"/>
    <w:rsid w:val="347D5999"/>
    <w:rsid w:val="34CE04B2"/>
    <w:rsid w:val="35374E47"/>
    <w:rsid w:val="35C778E0"/>
    <w:rsid w:val="36A125AC"/>
    <w:rsid w:val="39D839C8"/>
    <w:rsid w:val="3C423D71"/>
    <w:rsid w:val="3D307C72"/>
    <w:rsid w:val="3E4331CA"/>
    <w:rsid w:val="3E9D0F85"/>
    <w:rsid w:val="3F506070"/>
    <w:rsid w:val="3FA91118"/>
    <w:rsid w:val="40FC17E4"/>
    <w:rsid w:val="41792C5A"/>
    <w:rsid w:val="426B68CE"/>
    <w:rsid w:val="42BF1B92"/>
    <w:rsid w:val="42CE3F9C"/>
    <w:rsid w:val="451B7357"/>
    <w:rsid w:val="46075EFB"/>
    <w:rsid w:val="47FD752B"/>
    <w:rsid w:val="4A181B38"/>
    <w:rsid w:val="4C6E5771"/>
    <w:rsid w:val="4C707A19"/>
    <w:rsid w:val="4DC0511E"/>
    <w:rsid w:val="52C670DA"/>
    <w:rsid w:val="560939B3"/>
    <w:rsid w:val="58B232E7"/>
    <w:rsid w:val="58DC4756"/>
    <w:rsid w:val="5B607CF8"/>
    <w:rsid w:val="5CCB1593"/>
    <w:rsid w:val="5D5B0DB7"/>
    <w:rsid w:val="5E623B68"/>
    <w:rsid w:val="5E6A6113"/>
    <w:rsid w:val="5F1C0998"/>
    <w:rsid w:val="5F274BAB"/>
    <w:rsid w:val="5FD060D0"/>
    <w:rsid w:val="61B970E2"/>
    <w:rsid w:val="63461EEC"/>
    <w:rsid w:val="64947310"/>
    <w:rsid w:val="658835A0"/>
    <w:rsid w:val="66801FDF"/>
    <w:rsid w:val="66C06B20"/>
    <w:rsid w:val="68045EB2"/>
    <w:rsid w:val="694313A4"/>
    <w:rsid w:val="696F5BF7"/>
    <w:rsid w:val="69915AE9"/>
    <w:rsid w:val="699E5C54"/>
    <w:rsid w:val="6A911D64"/>
    <w:rsid w:val="6E4965FC"/>
    <w:rsid w:val="6E99525C"/>
    <w:rsid w:val="6EFE06AA"/>
    <w:rsid w:val="6F63131D"/>
    <w:rsid w:val="70BA6401"/>
    <w:rsid w:val="71DC77DD"/>
    <w:rsid w:val="72867D71"/>
    <w:rsid w:val="742915A0"/>
    <w:rsid w:val="74836A59"/>
    <w:rsid w:val="75AC272C"/>
    <w:rsid w:val="76972A9E"/>
    <w:rsid w:val="77DF63C1"/>
    <w:rsid w:val="78260B2C"/>
    <w:rsid w:val="78932B72"/>
    <w:rsid w:val="7A380327"/>
    <w:rsid w:val="7B662B28"/>
    <w:rsid w:val="7C8932DF"/>
    <w:rsid w:val="7D1763C6"/>
    <w:rsid w:val="7DCD223B"/>
    <w:rsid w:val="7E071551"/>
    <w:rsid w:val="7E7276AF"/>
    <w:rsid w:val="7F54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pPr>
      <w:textAlignment w:val="baseline"/>
    </w:pPr>
    <w:rPr>
      <w:sz w:val="18"/>
      <w:szCs w:val="18"/>
    </w:rPr>
  </w:style>
  <w:style w:type="paragraph" w:styleId="3">
    <w:name w:val="Normal Indent"/>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1I2"/>
    <w:basedOn w:val="11"/>
    <w:next w:val="1"/>
    <w:qFormat/>
    <w:uiPriority w:val="0"/>
    <w:pPr>
      <w:spacing w:line="560" w:lineRule="exact"/>
      <w:ind w:left="0" w:leftChars="0" w:firstLine="420" w:firstLineChars="200"/>
      <w:jc w:val="both"/>
      <w:textAlignment w:val="baseline"/>
    </w:pPr>
    <w:rPr>
      <w:rFonts w:ascii="Arial" w:hAnsi="Arial" w:eastAsia="仿宋_GB2312" w:cs="Arial"/>
      <w:snapToGrid w:val="0"/>
      <w:color w:val="000000"/>
      <w:kern w:val="0"/>
      <w:sz w:val="32"/>
      <w:szCs w:val="21"/>
    </w:rPr>
  </w:style>
  <w:style w:type="paragraph" w:customStyle="1" w:styleId="11">
    <w:name w:val="BodyTextIndent"/>
    <w:basedOn w:val="1"/>
    <w:qFormat/>
    <w:uiPriority w:val="0"/>
    <w:pPr>
      <w:spacing w:after="120" w:line="240" w:lineRule="auto"/>
      <w:ind w:left="420" w:leftChars="200"/>
      <w:jc w:val="both"/>
      <w:textAlignment w:val="baseline"/>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Body text|1"/>
    <w:basedOn w:val="1"/>
    <w:qFormat/>
    <w:uiPriority w:val="0"/>
    <w:pPr>
      <w:spacing w:line="420" w:lineRule="auto"/>
      <w:ind w:firstLine="400"/>
    </w:pPr>
    <w:rPr>
      <w:rFonts w:ascii="宋体" w:hAnsi="宋体" w:eastAsia="宋体" w:cs="宋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fab561c-dca8-45d0-8a99-2028ad2c1510}"/>
        <w:style w:val=""/>
        <w:category>
          <w:name w:val="常规"/>
          <w:gallery w:val="placeholder"/>
        </w:category>
        <w:types>
          <w:type w:val="bbPlcHdr"/>
        </w:types>
        <w:behaviors>
          <w:behavior w:val="content"/>
        </w:behaviors>
        <w:description w:val=""/>
        <w:guid w:val="{ffab561c-dca8-45d0-8a99-2028ad2c1510}"/>
      </w:docPartPr>
      <w:docPartBody>
        <w:p>
          <w:r>
            <w:rPr>
              <w:color w:val="808080"/>
            </w:rPr>
            <w:t>单击此处输入文字。</w:t>
          </w:r>
        </w:p>
      </w:docPartBody>
    </w:docPart>
    <w:docPart>
      <w:docPartPr>
        <w:name w:val="{c0cd46a5-26fa-48ec-b8a9-7cc846227575}"/>
        <w:style w:val=""/>
        <w:category>
          <w:name w:val="常规"/>
          <w:gallery w:val="placeholder"/>
        </w:category>
        <w:types>
          <w:type w:val="bbPlcHdr"/>
        </w:types>
        <w:behaviors>
          <w:behavior w:val="content"/>
        </w:behaviors>
        <w:description w:val=""/>
        <w:guid w:val="{c0cd46a5-26fa-48ec-b8a9-7cc846227575}"/>
      </w:docPartPr>
      <w:docPartBody>
        <w:p>
          <w:r>
            <w:rPr>
              <w:color w:val="808080"/>
            </w:rPr>
            <w:t>单击此处输入文字。</w:t>
          </w:r>
        </w:p>
      </w:docPartBody>
    </w:docPart>
    <w:docPart>
      <w:docPartPr>
        <w:name w:val="{b71db079-c4bc-45c9-8a08-000a1f976de7}"/>
        <w:style w:val=""/>
        <w:category>
          <w:name w:val="常规"/>
          <w:gallery w:val="placeholder"/>
        </w:category>
        <w:types>
          <w:type w:val="bbPlcHdr"/>
        </w:types>
        <w:behaviors>
          <w:behavior w:val="content"/>
        </w:behaviors>
        <w:description w:val=""/>
        <w:guid w:val="{b71db079-c4bc-45c9-8a08-000a1f976de7}"/>
      </w:docPartPr>
      <w:docPartBody>
        <w:p>
          <w:r>
            <w:rPr>
              <w:color w:val="808080"/>
            </w:rPr>
            <w:t>单击此处输入文字。</w:t>
          </w:r>
        </w:p>
      </w:docPartBody>
    </w:docPart>
    <w:docPart>
      <w:docPartPr>
        <w:name w:val="{2686afe0-d36f-4fca-b772-ea2d177c8d2d}"/>
        <w:style w:val=""/>
        <w:category>
          <w:name w:val="常规"/>
          <w:gallery w:val="placeholder"/>
        </w:category>
        <w:types>
          <w:type w:val="bbPlcHdr"/>
        </w:types>
        <w:behaviors>
          <w:behavior w:val="content"/>
        </w:behaviors>
        <w:description w:val=""/>
        <w:guid w:val="{2686afe0-d36f-4fca-b772-ea2d177c8d2d}"/>
      </w:docPartPr>
      <w:docPartBody>
        <w:p>
          <w:r>
            <w:rPr>
              <w:color w:val="808080"/>
            </w:rPr>
            <w:t>单击此处输入文字。</w:t>
          </w:r>
        </w:p>
      </w:docPartBody>
    </w:docPart>
    <w:docPart>
      <w:docPartPr>
        <w:name w:val="{73c51df3-38bc-4f92-bd57-2644904c2900}"/>
        <w:style w:val=""/>
        <w:category>
          <w:name w:val="常规"/>
          <w:gallery w:val="placeholder"/>
        </w:category>
        <w:types>
          <w:type w:val="bbPlcHdr"/>
        </w:types>
        <w:behaviors>
          <w:behavior w:val="content"/>
        </w:behaviors>
        <w:description w:val=""/>
        <w:guid w:val="{73c51df3-38bc-4f92-bd57-2644904c2900}"/>
      </w:docPartPr>
      <w:docPartBody>
        <w:p>
          <w:r>
            <w:rPr>
              <w:color w:val="808080"/>
            </w:rPr>
            <w:t>单击此处输入文字。</w:t>
          </w:r>
        </w:p>
      </w:docPartBody>
    </w:docPart>
    <w:docPart>
      <w:docPartPr>
        <w:name w:val="{53714be4-0466-4667-8261-e343e32db29b}"/>
        <w:style w:val=""/>
        <w:category>
          <w:name w:val="常规"/>
          <w:gallery w:val="placeholder"/>
        </w:category>
        <w:types>
          <w:type w:val="bbPlcHdr"/>
        </w:types>
        <w:behaviors>
          <w:behavior w:val="content"/>
        </w:behaviors>
        <w:description w:val=""/>
        <w:guid w:val="{53714be4-0466-4667-8261-e343e32db29b}"/>
      </w:docPartPr>
      <w:docPartBody>
        <w:p>
          <w:r>
            <w:rPr>
              <w:color w:val="808080"/>
            </w:rPr>
            <w:t>单击此处输入文字。</w:t>
          </w:r>
        </w:p>
      </w:docPartBody>
    </w:docPart>
    <w:docPart>
      <w:docPartPr>
        <w:name w:val="{40ab2533-38d4-4407-96a9-7d6c539532f1}"/>
        <w:style w:val=""/>
        <w:category>
          <w:name w:val="常规"/>
          <w:gallery w:val="placeholder"/>
        </w:category>
        <w:types>
          <w:type w:val="bbPlcHdr"/>
        </w:types>
        <w:behaviors>
          <w:behavior w:val="content"/>
        </w:behaviors>
        <w:description w:val=""/>
        <w:guid w:val="{40ab2533-38d4-4407-96a9-7d6c539532f1}"/>
      </w:docPartPr>
      <w:docPartBody>
        <w:p>
          <w:r>
            <w:rPr>
              <w:color w:val="808080"/>
            </w:rPr>
            <w:t>单击此处输入文字。</w:t>
          </w:r>
        </w:p>
      </w:docPartBody>
    </w:docPart>
    <w:docPart>
      <w:docPartPr>
        <w:name w:val="{0f575627-254b-40e4-baaf-d37caa2c408a}"/>
        <w:style w:val=""/>
        <w:category>
          <w:name w:val="常规"/>
          <w:gallery w:val="placeholder"/>
        </w:category>
        <w:types>
          <w:type w:val="bbPlcHdr"/>
        </w:types>
        <w:behaviors>
          <w:behavior w:val="content"/>
        </w:behaviors>
        <w:description w:val=""/>
        <w:guid w:val="{0f575627-254b-40e4-baaf-d37caa2c408a}"/>
      </w:docPartPr>
      <w:docPartBody>
        <w:p>
          <w:r>
            <w:rPr>
              <w:color w:val="808080"/>
            </w:rPr>
            <w:t>单击此处输入文字。</w:t>
          </w:r>
        </w:p>
      </w:docPartBody>
    </w:docPart>
    <w:docPart>
      <w:docPartPr>
        <w:name w:val="{fe5ea4c3-71dd-43d6-b4e0-fb6d54188245}"/>
        <w:style w:val=""/>
        <w:category>
          <w:name w:val="常规"/>
          <w:gallery w:val="placeholder"/>
        </w:category>
        <w:types>
          <w:type w:val="bbPlcHdr"/>
        </w:types>
        <w:behaviors>
          <w:behavior w:val="content"/>
        </w:behaviors>
        <w:description w:val=""/>
        <w:guid w:val="{fe5ea4c3-71dd-43d6-b4e0-fb6d54188245}"/>
      </w:docPartPr>
      <w:docPartBody>
        <w:p>
          <w:r>
            <w:rPr>
              <w:color w:val="808080"/>
            </w:rPr>
            <w:t>单击此处输入文字。</w:t>
          </w:r>
        </w:p>
      </w:docPartBody>
    </w:docPart>
    <w:docPart>
      <w:docPartPr>
        <w:name w:val="{924ab096-b305-4201-bc90-8c46f7354f25}"/>
        <w:style w:val=""/>
        <w:category>
          <w:name w:val="常规"/>
          <w:gallery w:val="placeholder"/>
        </w:category>
        <w:types>
          <w:type w:val="bbPlcHdr"/>
        </w:types>
        <w:behaviors>
          <w:behavior w:val="content"/>
        </w:behaviors>
        <w:description w:val=""/>
        <w:guid w:val="{924ab096-b305-4201-bc90-8c46f7354f25}"/>
      </w:docPartPr>
      <w:docPartBody>
        <w:p>
          <w:r>
            <w:rPr>
              <w:color w:val="808080"/>
            </w:rPr>
            <w:t>单击此处输入文字。</w:t>
          </w:r>
        </w:p>
      </w:docPartBody>
    </w:docPart>
    <w:docPart>
      <w:docPartPr>
        <w:name w:val="{a90357be-2bc3-4f90-b4a3-65886317fa0c}"/>
        <w:style w:val=""/>
        <w:category>
          <w:name w:val="常规"/>
          <w:gallery w:val="placeholder"/>
        </w:category>
        <w:types>
          <w:type w:val="bbPlcHdr"/>
        </w:types>
        <w:behaviors>
          <w:behavior w:val="content"/>
        </w:behaviors>
        <w:description w:val=""/>
        <w:guid w:val="{a90357be-2bc3-4f90-b4a3-65886317fa0c}"/>
      </w:docPartPr>
      <w:docPartBody>
        <w:p>
          <w:r>
            <w:rPr>
              <w:color w:val="808080"/>
            </w:rPr>
            <w:t>单击此处输入文字。</w:t>
          </w:r>
        </w:p>
      </w:docPartBody>
    </w:docPart>
    <w:docPart>
      <w:docPartPr>
        <w:name w:val="{0def1506-c8de-48a6-b4e0-66a5c31eaebf}"/>
        <w:style w:val=""/>
        <w:category>
          <w:name w:val="常规"/>
          <w:gallery w:val="placeholder"/>
        </w:category>
        <w:types>
          <w:type w:val="bbPlcHdr"/>
        </w:types>
        <w:behaviors>
          <w:behavior w:val="content"/>
        </w:behaviors>
        <w:description w:val=""/>
        <w:guid w:val="{0def1506-c8de-48a6-b4e0-66a5c31eaebf}"/>
      </w:docPartPr>
      <w:docPartBody>
        <w:p>
          <w:r>
            <w:rPr>
              <w:color w:val="808080"/>
            </w:rPr>
            <w:t>单击此处输入文字。</w:t>
          </w:r>
        </w:p>
      </w:docPartBody>
    </w:docPart>
    <w:docPart>
      <w:docPartPr>
        <w:name w:val="{88ed4c43-ddb8-445d-abee-eb2e6be8183d}"/>
        <w:style w:val=""/>
        <w:category>
          <w:name w:val="常规"/>
          <w:gallery w:val="placeholder"/>
        </w:category>
        <w:types>
          <w:type w:val="bbPlcHdr"/>
        </w:types>
        <w:behaviors>
          <w:behavior w:val="content"/>
        </w:behaviors>
        <w:description w:val=""/>
        <w:guid w:val="{88ed4c43-ddb8-445d-abee-eb2e6be8183d}"/>
      </w:docPartPr>
      <w:docPartBody>
        <w:p>
          <w:r>
            <w:rPr>
              <w:color w:val="808080"/>
            </w:rPr>
            <w:t>单击此处输入文字。</w:t>
          </w:r>
        </w:p>
      </w:docPartBody>
    </w:docPart>
    <w:docPart>
      <w:docPartPr>
        <w:name w:val="{13d320b8-5837-4746-aa33-4a3896ef65f5}"/>
        <w:style w:val=""/>
        <w:category>
          <w:name w:val="常规"/>
          <w:gallery w:val="placeholder"/>
        </w:category>
        <w:types>
          <w:type w:val="bbPlcHdr"/>
        </w:types>
        <w:behaviors>
          <w:behavior w:val="content"/>
        </w:behaviors>
        <w:description w:val=""/>
        <w:guid w:val="{13d320b8-5837-4746-aa33-4a3896ef65f5}"/>
      </w:docPartPr>
      <w:docPartBody>
        <w:p>
          <w:r>
            <w:rPr>
              <w:color w:val="808080"/>
            </w:rPr>
            <w:t>单击此处输入文字。</w:t>
          </w:r>
        </w:p>
      </w:docPartBody>
    </w:docPart>
    <w:docPart>
      <w:docPartPr>
        <w:name w:val="{6d55e3fe-756e-4052-a2a4-fdecc77efef9}"/>
        <w:style w:val=""/>
        <w:category>
          <w:name w:val="常规"/>
          <w:gallery w:val="placeholder"/>
        </w:category>
        <w:types>
          <w:type w:val="bbPlcHdr"/>
        </w:types>
        <w:behaviors>
          <w:behavior w:val="content"/>
        </w:behaviors>
        <w:description w:val=""/>
        <w:guid w:val="{6d55e3fe-756e-4052-a2a4-fdecc77efef9}"/>
      </w:docPartPr>
      <w:docPartBody>
        <w:p>
          <w:r>
            <w:rPr>
              <w:color w:val="808080"/>
            </w:rPr>
            <w:t>单击此处输入文字。</w:t>
          </w:r>
        </w:p>
      </w:docPartBody>
    </w:docPart>
    <w:docPart>
      <w:docPartPr>
        <w:name w:val="{b5af97a9-8bcc-430f-b89f-2991486519e7}"/>
        <w:style w:val=""/>
        <w:category>
          <w:name w:val="常规"/>
          <w:gallery w:val="placeholder"/>
        </w:category>
        <w:types>
          <w:type w:val="bbPlcHdr"/>
        </w:types>
        <w:behaviors>
          <w:behavior w:val="content"/>
        </w:behaviors>
        <w:description w:val=""/>
        <w:guid w:val="{b5af97a9-8bcc-430f-b89f-2991486519e7}"/>
      </w:docPartPr>
      <w:docPartBody>
        <w:p>
          <w:r>
            <w:rPr>
              <w:color w:val="808080"/>
            </w:rPr>
            <w:t>单击此处输入文字。</w:t>
          </w:r>
        </w:p>
      </w:docPartBody>
    </w:docPart>
    <w:docPart>
      <w:docPartPr>
        <w:name w:val="{3218e929-1974-4f0a-95c3-278e4d52a28a}"/>
        <w:style w:val=""/>
        <w:category>
          <w:name w:val="常规"/>
          <w:gallery w:val="placeholder"/>
        </w:category>
        <w:types>
          <w:type w:val="bbPlcHdr"/>
        </w:types>
        <w:behaviors>
          <w:behavior w:val="content"/>
        </w:behaviors>
        <w:description w:val=""/>
        <w:guid w:val="{3218e929-1974-4f0a-95c3-278e4d52a28a}"/>
      </w:docPartPr>
      <w:docPartBody>
        <w:p>
          <w:r>
            <w:rPr>
              <w:color w:val="808080"/>
            </w:rPr>
            <w:t>单击此处输入文字。</w:t>
          </w:r>
        </w:p>
      </w:docPartBody>
    </w:docPart>
    <w:docPart>
      <w:docPartPr>
        <w:name w:val="{ee2b35c8-4675-4765-9613-c1ff6a845c70}"/>
        <w:style w:val=""/>
        <w:category>
          <w:name w:val="常规"/>
          <w:gallery w:val="placeholder"/>
        </w:category>
        <w:types>
          <w:type w:val="bbPlcHdr"/>
        </w:types>
        <w:behaviors>
          <w:behavior w:val="content"/>
        </w:behaviors>
        <w:description w:val=""/>
        <w:guid w:val="{ee2b35c8-4675-4765-9613-c1ff6a845c70}"/>
      </w:docPartPr>
      <w:docPartBody>
        <w:p>
          <w:r>
            <w:rPr>
              <w:color w:val="808080"/>
            </w:rPr>
            <w:t>单击此处输入文字。</w:t>
          </w:r>
        </w:p>
      </w:docPartBody>
    </w:docPart>
    <w:docPart>
      <w:docPartPr>
        <w:name w:val="{bdbe2d90-0f74-4c1c-8008-f832d6fb82e3}"/>
        <w:style w:val=""/>
        <w:category>
          <w:name w:val="常规"/>
          <w:gallery w:val="placeholder"/>
        </w:category>
        <w:types>
          <w:type w:val="bbPlcHdr"/>
        </w:types>
        <w:behaviors>
          <w:behavior w:val="content"/>
        </w:behaviors>
        <w:description w:val=""/>
        <w:guid w:val="{bdbe2d90-0f74-4c1c-8008-f832d6fb82e3}"/>
      </w:docPartPr>
      <w:docPartBody>
        <w:p>
          <w:r>
            <w:rPr>
              <w:color w:val="808080"/>
            </w:rPr>
            <w:t>单击此处输入文字。</w:t>
          </w:r>
        </w:p>
      </w:docPartBody>
    </w:docPart>
    <w:docPart>
      <w:docPartPr>
        <w:name w:val="{4b350830-d350-428c-90cd-ed4ed79bdbb6}"/>
        <w:style w:val=""/>
        <w:category>
          <w:name w:val="常规"/>
          <w:gallery w:val="placeholder"/>
        </w:category>
        <w:types>
          <w:type w:val="bbPlcHdr"/>
        </w:types>
        <w:behaviors>
          <w:behavior w:val="content"/>
        </w:behaviors>
        <w:description w:val=""/>
        <w:guid w:val="{4b350830-d350-428c-90cd-ed4ed79bdbb6}"/>
      </w:docPartPr>
      <w:docPartBody>
        <w:p>
          <w:r>
            <w:rPr>
              <w:color w:val="808080"/>
            </w:rPr>
            <w:t>单击此处输入文字。</w:t>
          </w:r>
        </w:p>
      </w:docPartBody>
    </w:docPart>
    <w:docPart>
      <w:docPartPr>
        <w:name w:val="{21252525-53e9-469b-a96d-2f033230ddc5}"/>
        <w:style w:val=""/>
        <w:category>
          <w:name w:val="常规"/>
          <w:gallery w:val="placeholder"/>
        </w:category>
        <w:types>
          <w:type w:val="bbPlcHdr"/>
        </w:types>
        <w:behaviors>
          <w:behavior w:val="content"/>
        </w:behaviors>
        <w:description w:val=""/>
        <w:guid w:val="{21252525-53e9-469b-a96d-2f033230ddc5}"/>
      </w:docPartPr>
      <w:docPartBody>
        <w:p>
          <w:r>
            <w:rPr>
              <w:color w:val="808080"/>
            </w:rPr>
            <w:t>单击此处输入文字。</w:t>
          </w:r>
        </w:p>
      </w:docPartBody>
    </w:docPart>
    <w:docPart>
      <w:docPartPr>
        <w:name w:val="{ea9ab1c8-efa5-4ed6-bcb1-ce8eba3005bf}"/>
        <w:style w:val=""/>
        <w:category>
          <w:name w:val="常规"/>
          <w:gallery w:val="placeholder"/>
        </w:category>
        <w:types>
          <w:type w:val="bbPlcHdr"/>
        </w:types>
        <w:behaviors>
          <w:behavior w:val="content"/>
        </w:behaviors>
        <w:description w:val=""/>
        <w:guid w:val="{ea9ab1c8-efa5-4ed6-bcb1-ce8eba3005b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29</TotalTime>
  <ScaleCrop>false</ScaleCrop>
  <LinksUpToDate>false</LinksUpToDate>
  <CharactersWithSpaces>0</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2024-09-29T08:53:00Z</dcterms:created>
  <dc:creator>FJNX</dc:creator>
  <cp:lastModifiedBy>FJNX</cp:lastModifiedBy>
  <cp:lastPrinted>2025-07-30T09:17:45Z</cp:lastPrinted>
  <dcterms:modified xsi:type="dcterms:W3CDTF">2025-07-30T09:27:39Z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C64D4400C876495CA24F0BAE76285E9D_13</vt:lpwstr>
  </property>
</Properties>
</file>