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宋体" w:eastAsia="黑体" w:cs="黑体"/>
          <w:b/>
          <w:color w:val="FF0000"/>
          <w:kern w:val="0"/>
          <w:sz w:val="67"/>
          <w:szCs w:val="67"/>
          <w:highlight w:val="none"/>
          <w:lang w:val="en-US" w:eastAsia="zh-CN" w:bidi="ar"/>
        </w:rPr>
      </w:pPr>
    </w:p>
    <w:p>
      <w:pPr>
        <w:keepNext w:val="0"/>
        <w:keepLines w:val="0"/>
        <w:widowControl/>
        <w:suppressLineNumbers w:val="0"/>
        <w:jc w:val="center"/>
        <w:rPr>
          <w:rFonts w:hint="eastAsia" w:ascii="黑体" w:hAnsi="宋体" w:eastAsia="黑体" w:cs="黑体"/>
          <w:b/>
          <w:color w:val="FF0000"/>
          <w:kern w:val="0"/>
          <w:sz w:val="67"/>
          <w:szCs w:val="67"/>
          <w:highlight w:val="none"/>
          <w:lang w:val="en-US" w:eastAsia="zh-CN" w:bidi="ar"/>
        </w:rPr>
      </w:pPr>
    </w:p>
    <w:p>
      <w:pPr>
        <w:keepNext w:val="0"/>
        <w:keepLines w:val="0"/>
        <w:widowControl/>
        <w:suppressLineNumbers w:val="0"/>
        <w:jc w:val="center"/>
        <w:rPr>
          <w:rFonts w:hint="eastAsia" w:ascii="黑体" w:hAnsi="宋体" w:eastAsia="黑体" w:cs="黑体"/>
          <w:b/>
          <w:color w:val="auto"/>
          <w:kern w:val="0"/>
          <w:sz w:val="67"/>
          <w:szCs w:val="67"/>
          <w:highlight w:val="none"/>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val="0"/>
          <w:bCs/>
          <w:color w:val="auto"/>
          <w:sz w:val="56"/>
          <w:szCs w:val="56"/>
          <w:highlight w:val="none"/>
        </w:rPr>
      </w:pPr>
      <w:r>
        <w:rPr>
          <w:rFonts w:hint="eastAsia" w:ascii="方正小标宋简体" w:hAnsi="方正小标宋简体" w:eastAsia="方正小标宋简体" w:cs="方正小标宋简体"/>
          <w:b w:val="0"/>
          <w:bCs/>
          <w:color w:val="auto"/>
          <w:kern w:val="0"/>
          <w:sz w:val="56"/>
          <w:szCs w:val="56"/>
          <w:highlight w:val="none"/>
          <w:lang w:val="en-US" w:eastAsia="zh-CN" w:bidi="ar"/>
        </w:rPr>
        <w:t>周宁县农村信用合作联社</w:t>
      </w:r>
    </w:p>
    <w:p>
      <w:pPr>
        <w:keepNext w:val="0"/>
        <w:keepLines w:val="0"/>
        <w:widowControl/>
        <w:suppressLineNumbers w:val="0"/>
        <w:jc w:val="center"/>
        <w:rPr>
          <w:rFonts w:hint="eastAsia" w:ascii="方正小标宋简体" w:hAnsi="方正小标宋简体" w:eastAsia="方正小标宋简体" w:cs="方正小标宋简体"/>
          <w:b w:val="0"/>
          <w:bCs/>
          <w:color w:val="auto"/>
          <w:kern w:val="0"/>
          <w:sz w:val="56"/>
          <w:szCs w:val="56"/>
          <w:highlight w:val="none"/>
          <w:lang w:val="en-US" w:eastAsia="zh-CN" w:bidi="ar"/>
        </w:rPr>
      </w:pPr>
      <w:r>
        <w:rPr>
          <w:rFonts w:hint="eastAsia" w:ascii="方正小标宋简体" w:hAnsi="方正小标宋简体" w:eastAsia="方正小标宋简体" w:cs="方正小标宋简体"/>
          <w:b w:val="0"/>
          <w:bCs/>
          <w:color w:val="auto"/>
          <w:kern w:val="0"/>
          <w:sz w:val="56"/>
          <w:szCs w:val="56"/>
          <w:highlight w:val="none"/>
          <w:lang w:val="en-US" w:eastAsia="zh-CN" w:bidi="ar"/>
        </w:rPr>
        <w:t>2024年度环境信息披露报告</w:t>
      </w:r>
    </w:p>
    <w:p>
      <w:pPr>
        <w:keepNext w:val="0"/>
        <w:keepLines w:val="0"/>
        <w:widowControl/>
        <w:suppressLineNumbers w:val="0"/>
        <w:jc w:val="left"/>
        <w:rPr>
          <w:rFonts w:hint="eastAsia" w:ascii="黑体" w:hAnsi="宋体" w:eastAsia="黑体" w:cs="黑体"/>
          <w:b/>
          <w:color w:val="auto"/>
          <w:kern w:val="0"/>
          <w:sz w:val="67"/>
          <w:szCs w:val="67"/>
          <w:highlight w:val="none"/>
          <w:lang w:val="en-US" w:eastAsia="zh-CN" w:bidi="ar"/>
        </w:rPr>
      </w:pPr>
    </w:p>
    <w:p>
      <w:pPr>
        <w:keepNext w:val="0"/>
        <w:keepLines w:val="0"/>
        <w:widowControl/>
        <w:suppressLineNumbers w:val="0"/>
        <w:jc w:val="left"/>
        <w:rPr>
          <w:rFonts w:hint="eastAsia" w:ascii="黑体" w:hAnsi="宋体" w:eastAsia="黑体" w:cs="黑体"/>
          <w:b/>
          <w:color w:val="FF0000"/>
          <w:kern w:val="0"/>
          <w:sz w:val="67"/>
          <w:szCs w:val="67"/>
          <w:highlight w:val="none"/>
          <w:lang w:val="en-US" w:eastAsia="zh-CN" w:bidi="ar"/>
        </w:rPr>
      </w:pPr>
    </w:p>
    <w:p>
      <w:pPr>
        <w:keepNext w:val="0"/>
        <w:keepLines w:val="0"/>
        <w:widowControl/>
        <w:suppressLineNumbers w:val="0"/>
        <w:jc w:val="left"/>
        <w:rPr>
          <w:rFonts w:hint="eastAsia" w:ascii="黑体" w:hAnsi="宋体" w:eastAsia="黑体" w:cs="黑体"/>
          <w:b/>
          <w:color w:val="FF0000"/>
          <w:kern w:val="0"/>
          <w:sz w:val="67"/>
          <w:szCs w:val="67"/>
          <w:highlight w:val="none"/>
          <w:lang w:val="en-US" w:eastAsia="zh-CN" w:bidi="ar"/>
        </w:rPr>
      </w:pPr>
    </w:p>
    <w:p>
      <w:pPr>
        <w:keepNext w:val="0"/>
        <w:keepLines w:val="0"/>
        <w:widowControl/>
        <w:suppressLineNumbers w:val="0"/>
        <w:jc w:val="center"/>
        <w:rPr>
          <w:rFonts w:hint="eastAsia" w:ascii="黑体" w:hAnsi="宋体" w:eastAsia="黑体" w:cs="黑体"/>
          <w:b/>
          <w:color w:val="FF0000"/>
          <w:kern w:val="0"/>
          <w:sz w:val="67"/>
          <w:szCs w:val="67"/>
          <w:highlight w:val="none"/>
          <w:lang w:val="en-US" w:eastAsia="zh-CN" w:bidi="ar"/>
        </w:rPr>
      </w:pPr>
    </w:p>
    <w:p>
      <w:pPr>
        <w:keepNext w:val="0"/>
        <w:keepLines w:val="0"/>
        <w:widowControl/>
        <w:suppressLineNumbers w:val="0"/>
        <w:jc w:val="center"/>
        <w:rPr>
          <w:rFonts w:hint="eastAsia" w:ascii="黑体" w:hAnsi="宋体" w:eastAsia="黑体" w:cs="黑体"/>
          <w:b/>
          <w:color w:val="FF0000"/>
          <w:kern w:val="0"/>
          <w:sz w:val="67"/>
          <w:szCs w:val="67"/>
          <w:highlight w:val="none"/>
          <w:lang w:val="en-US" w:eastAsia="zh-CN" w:bidi="ar"/>
        </w:rPr>
      </w:pPr>
    </w:p>
    <w:p>
      <w:pPr>
        <w:keepNext w:val="0"/>
        <w:keepLines w:val="0"/>
        <w:widowControl/>
        <w:suppressLineNumbers w:val="0"/>
        <w:jc w:val="left"/>
        <w:rPr>
          <w:rFonts w:hint="eastAsia" w:ascii="黑体" w:hAnsi="宋体" w:eastAsia="黑体" w:cs="黑体"/>
          <w:b/>
          <w:color w:val="FF0000"/>
          <w:kern w:val="0"/>
          <w:sz w:val="67"/>
          <w:szCs w:val="67"/>
          <w:highlight w:val="none"/>
          <w:lang w:val="en-US" w:eastAsia="zh-CN" w:bidi="ar"/>
        </w:rPr>
      </w:pPr>
    </w:p>
    <w:p>
      <w:pPr>
        <w:keepNext w:val="0"/>
        <w:keepLines w:val="0"/>
        <w:widowControl/>
        <w:suppressLineNumbers w:val="0"/>
        <w:jc w:val="center"/>
        <w:rPr>
          <w:rFonts w:hint="eastAsia" w:ascii="黑体" w:hAnsi="宋体" w:eastAsia="黑体" w:cs="黑体"/>
          <w:b/>
          <w:color w:val="FF0000"/>
          <w:kern w:val="0"/>
          <w:sz w:val="67"/>
          <w:szCs w:val="67"/>
          <w:highlight w:val="none"/>
          <w:lang w:val="en-US" w:eastAsia="zh-CN" w:bidi="ar"/>
        </w:rPr>
      </w:pPr>
    </w:p>
    <w:p>
      <w:pPr>
        <w:keepNext w:val="0"/>
        <w:keepLines w:val="0"/>
        <w:widowControl/>
        <w:suppressLineNumbers w:val="0"/>
        <w:jc w:val="left"/>
        <w:rPr>
          <w:rFonts w:hint="eastAsia" w:ascii="黑体" w:hAnsi="宋体" w:eastAsia="黑体" w:cs="黑体"/>
          <w:b/>
          <w:color w:val="FF0000"/>
          <w:kern w:val="0"/>
          <w:sz w:val="67"/>
          <w:szCs w:val="67"/>
          <w:highlight w:val="none"/>
          <w:lang w:val="en-US" w:eastAsia="zh-CN" w:bidi="ar"/>
        </w:rPr>
      </w:pPr>
    </w:p>
    <w:p>
      <w:pPr>
        <w:keepNext w:val="0"/>
        <w:keepLines w:val="0"/>
        <w:widowControl/>
        <w:suppressLineNumbers w:val="0"/>
        <w:jc w:val="left"/>
        <w:rPr>
          <w:rFonts w:hint="eastAsia" w:ascii="黑体" w:hAnsi="宋体" w:eastAsia="黑体" w:cs="黑体"/>
          <w:b/>
          <w:color w:val="FF0000"/>
          <w:kern w:val="0"/>
          <w:sz w:val="67"/>
          <w:szCs w:val="67"/>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黑体" w:hAnsi="黑体" w:eastAsia="黑体" w:cs="黑体"/>
          <w:color w:val="auto"/>
          <w:kern w:val="0"/>
          <w:sz w:val="31"/>
          <w:szCs w:val="31"/>
          <w:highlight w:val="none"/>
          <w:lang w:val="en-US" w:eastAsia="zh-CN" w:bidi="ar"/>
        </w:rPr>
        <w:sectPr>
          <w:headerReference r:id="rId3" w:type="default"/>
          <w:footerReference r:id="rId4" w:type="default"/>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highlight w:val="none"/>
          <w:lang w:val="en-US" w:eastAsia="zh-CN" w:bidi="ar-SA"/>
        </w:rPr>
        <w:id w:val="147472588"/>
        <w15:color w:val="DBDBDB"/>
        <w:docPartObj>
          <w:docPartGallery w:val="Table of Contents"/>
          <w:docPartUnique/>
        </w:docPartObj>
      </w:sdtPr>
      <w:sdtEndPr>
        <w:rPr>
          <w:rFonts w:hint="eastAsia" w:ascii="仿宋_GB2312" w:hAnsi="仿宋_GB2312" w:eastAsia="仿宋_GB2312" w:cs="仿宋_GB2312"/>
          <w:b/>
          <w:bCs/>
          <w:kern w:val="2"/>
          <w:sz w:val="32"/>
          <w:szCs w:val="32"/>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rFonts w:hint="eastAsia" w:ascii="仿宋_GB2312" w:hAnsi="仿宋_GB2312" w:eastAsia="仿宋_GB2312" w:cs="仿宋_GB2312"/>
              <w:sz w:val="32"/>
              <w:szCs w:val="32"/>
              <w:highlight w:val="none"/>
            </w:rPr>
          </w:pPr>
          <w:bookmarkStart w:id="0" w:name="_Toc25476_WPSOffice_Type2"/>
          <w:r>
            <w:rPr>
              <w:rFonts w:hint="eastAsia" w:ascii="仿宋_GB2312" w:hAnsi="仿宋_GB2312" w:eastAsia="仿宋_GB2312" w:cs="仿宋_GB2312"/>
              <w:sz w:val="32"/>
              <w:szCs w:val="32"/>
              <w:highlight w:val="none"/>
            </w:rPr>
            <w:t>目</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录</w:t>
          </w:r>
        </w:p>
        <w:p>
          <w:pPr>
            <w:pStyle w:val="11"/>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_Toc15291_WPSOffice_Level1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91"/>
              <w:placeholder>
                <w:docPart w:val="{30d40a15-bd78-4fb8-94a2-65a97c7b388c}"/>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一、关于本报告</w:t>
              </w:r>
            </w:sdtContent>
          </w:sdt>
          <w:r>
            <w:rPr>
              <w:rFonts w:hint="eastAsia" w:ascii="仿宋_GB2312" w:hAnsi="仿宋_GB2312" w:eastAsia="仿宋_GB2312" w:cs="仿宋_GB2312"/>
              <w:b/>
              <w:bCs/>
              <w:sz w:val="32"/>
              <w:szCs w:val="32"/>
              <w:highlight w:val="none"/>
            </w:rPr>
            <w:tab/>
          </w:r>
          <w:bookmarkStart w:id="1" w:name="_Toc15291_WPSOffice_Level1Page"/>
          <w:r>
            <w:rPr>
              <w:rFonts w:hint="eastAsia" w:ascii="仿宋_GB2312" w:hAnsi="仿宋_GB2312" w:eastAsia="仿宋_GB2312" w:cs="仿宋_GB2312"/>
              <w:b/>
              <w:bCs/>
              <w:sz w:val="32"/>
              <w:szCs w:val="32"/>
              <w:highlight w:val="none"/>
            </w:rPr>
            <w:t>3</w:t>
          </w:r>
          <w:bookmarkEnd w:id="1"/>
          <w:r>
            <w:rPr>
              <w:rFonts w:hint="eastAsia" w:ascii="仿宋_GB2312" w:hAnsi="仿宋_GB2312" w:eastAsia="仿宋_GB2312" w:cs="仿宋_GB2312"/>
              <w:b/>
              <w:bCs/>
              <w:sz w:val="32"/>
              <w:szCs w:val="32"/>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_Toc14728_WPSOffice_Level2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9a0dc8aa-4422-4129-a053-21aa6e59bc4b}"/>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报告期间</w:t>
              </w:r>
            </w:sdtContent>
          </w:sdt>
          <w:r>
            <w:rPr>
              <w:rFonts w:hint="eastAsia" w:ascii="仿宋_GB2312" w:hAnsi="仿宋_GB2312" w:eastAsia="仿宋_GB2312" w:cs="仿宋_GB2312"/>
              <w:sz w:val="32"/>
              <w:szCs w:val="32"/>
              <w:highlight w:val="none"/>
            </w:rPr>
            <w:tab/>
          </w:r>
          <w:bookmarkStart w:id="2" w:name="_Toc14728_WPSOffice_Level2Page"/>
          <w:r>
            <w:rPr>
              <w:rFonts w:hint="eastAsia" w:ascii="仿宋_GB2312" w:hAnsi="仿宋_GB2312" w:eastAsia="仿宋_GB2312" w:cs="仿宋_GB2312"/>
              <w:sz w:val="32"/>
              <w:szCs w:val="32"/>
              <w:highlight w:val="none"/>
            </w:rPr>
            <w:t>3</w:t>
          </w:r>
          <w:bookmarkEnd w:id="2"/>
          <w:r>
            <w:rPr>
              <w:rFonts w:hint="eastAsia" w:ascii="仿宋_GB2312" w:hAnsi="仿宋_GB2312" w:eastAsia="仿宋_GB2312" w:cs="仿宋_GB2312"/>
              <w:sz w:val="32"/>
              <w:szCs w:val="32"/>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_Toc30457_WPSOffice_Level2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dad80e51-1b85-46ad-9133-32eb6156a9fe}"/>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报告范围</w:t>
              </w:r>
            </w:sdtContent>
          </w:sdt>
          <w:r>
            <w:rPr>
              <w:rFonts w:hint="eastAsia" w:ascii="仿宋_GB2312" w:hAnsi="仿宋_GB2312" w:eastAsia="仿宋_GB2312" w:cs="仿宋_GB2312"/>
              <w:sz w:val="32"/>
              <w:szCs w:val="32"/>
              <w:highlight w:val="none"/>
            </w:rPr>
            <w:tab/>
          </w:r>
          <w:bookmarkStart w:id="3" w:name="_Toc30457_WPSOffice_Level2Page"/>
          <w:r>
            <w:rPr>
              <w:rFonts w:hint="eastAsia" w:ascii="仿宋_GB2312" w:hAnsi="仿宋_GB2312" w:eastAsia="仿宋_GB2312" w:cs="仿宋_GB2312"/>
              <w:sz w:val="32"/>
              <w:szCs w:val="32"/>
              <w:highlight w:val="none"/>
            </w:rPr>
            <w:t>3</w:t>
          </w:r>
          <w:bookmarkEnd w:id="3"/>
          <w:r>
            <w:rPr>
              <w:rFonts w:hint="eastAsia" w:ascii="仿宋_GB2312" w:hAnsi="仿宋_GB2312" w:eastAsia="仿宋_GB2312" w:cs="仿宋_GB2312"/>
              <w:sz w:val="32"/>
              <w:szCs w:val="32"/>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_Toc22572_WPSOffice_Level2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8755d761-618f-4ac3-a988-25a68d15869c}"/>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报告数据说明</w:t>
              </w:r>
            </w:sdtContent>
          </w:sdt>
          <w:r>
            <w:rPr>
              <w:rFonts w:hint="eastAsia" w:ascii="仿宋_GB2312" w:hAnsi="仿宋_GB2312" w:eastAsia="仿宋_GB2312" w:cs="仿宋_GB2312"/>
              <w:sz w:val="32"/>
              <w:szCs w:val="32"/>
              <w:highlight w:val="none"/>
            </w:rPr>
            <w:tab/>
          </w:r>
          <w:bookmarkStart w:id="4" w:name="_Toc22572_WPSOffice_Level2Page"/>
          <w:r>
            <w:rPr>
              <w:rFonts w:hint="eastAsia" w:ascii="仿宋_GB2312" w:hAnsi="仿宋_GB2312" w:eastAsia="仿宋_GB2312" w:cs="仿宋_GB2312"/>
              <w:sz w:val="32"/>
              <w:szCs w:val="32"/>
              <w:highlight w:val="none"/>
            </w:rPr>
            <w:t>3</w:t>
          </w:r>
          <w:bookmarkEnd w:id="4"/>
          <w:r>
            <w:rPr>
              <w:rFonts w:hint="eastAsia" w:ascii="仿宋_GB2312" w:hAnsi="仿宋_GB2312" w:eastAsia="仿宋_GB2312" w:cs="仿宋_GB2312"/>
              <w:sz w:val="32"/>
              <w:szCs w:val="32"/>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_Toc12076_WPSOffice_Level2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e4903f54-9bb8-49a6-875a-8b8f640f6c29}"/>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报告编制依据</w:t>
              </w:r>
            </w:sdtContent>
          </w:sdt>
          <w:r>
            <w:rPr>
              <w:rFonts w:hint="eastAsia" w:ascii="仿宋_GB2312" w:hAnsi="仿宋_GB2312" w:eastAsia="仿宋_GB2312" w:cs="仿宋_GB2312"/>
              <w:sz w:val="32"/>
              <w:szCs w:val="32"/>
              <w:highlight w:val="none"/>
            </w:rPr>
            <w:tab/>
          </w:r>
          <w:bookmarkStart w:id="5" w:name="_Toc12076_WPSOffice_Level2Page"/>
          <w:r>
            <w:rPr>
              <w:rFonts w:hint="eastAsia" w:ascii="仿宋_GB2312" w:hAnsi="仿宋_GB2312" w:eastAsia="仿宋_GB2312" w:cs="仿宋_GB2312"/>
              <w:sz w:val="32"/>
              <w:szCs w:val="32"/>
              <w:highlight w:val="none"/>
            </w:rPr>
            <w:t>3</w:t>
          </w:r>
          <w:bookmarkEnd w:id="5"/>
          <w:r>
            <w:rPr>
              <w:rFonts w:hint="eastAsia" w:ascii="仿宋_GB2312" w:hAnsi="仿宋_GB2312" w:eastAsia="仿宋_GB2312" w:cs="仿宋_GB2312"/>
              <w:sz w:val="32"/>
              <w:szCs w:val="32"/>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_Toc9429_WPSOffice_Level2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f81ea27e-61c0-4ac5-b907-bf866b908637}"/>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报告发布形式</w:t>
              </w:r>
            </w:sdtContent>
          </w:sdt>
          <w:r>
            <w:rPr>
              <w:rFonts w:hint="eastAsia" w:ascii="仿宋_GB2312" w:hAnsi="仿宋_GB2312" w:eastAsia="仿宋_GB2312" w:cs="仿宋_GB2312"/>
              <w:sz w:val="32"/>
              <w:szCs w:val="32"/>
              <w:highlight w:val="none"/>
            </w:rPr>
            <w:tab/>
          </w:r>
          <w:bookmarkStart w:id="6" w:name="_Toc9429_WPSOffice_Level2Page"/>
          <w:r>
            <w:rPr>
              <w:rFonts w:hint="eastAsia" w:ascii="仿宋_GB2312" w:hAnsi="仿宋_GB2312" w:eastAsia="仿宋_GB2312" w:cs="仿宋_GB2312"/>
              <w:sz w:val="32"/>
              <w:szCs w:val="32"/>
              <w:highlight w:val="none"/>
            </w:rPr>
            <w:t>3</w:t>
          </w:r>
          <w:bookmarkEnd w:id="6"/>
          <w:r>
            <w:rPr>
              <w:rFonts w:hint="eastAsia" w:ascii="仿宋_GB2312" w:hAnsi="仿宋_GB2312" w:eastAsia="仿宋_GB2312" w:cs="仿宋_GB2312"/>
              <w:sz w:val="32"/>
              <w:szCs w:val="32"/>
              <w:highlight w:val="none"/>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_Toc14728_WPSOffice_Level1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91"/>
              <w:placeholder>
                <w:docPart w:val="{ad826c7a-7a59-47e6-81e3-22700a2c08f8}"/>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二、总体概况</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_Toc21649_WPSOffice_Level2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ad5a5264-deb4-4aee-aed0-6db89f43b9ad}"/>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（一）年度概况</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_Toc20776_WPSOffice_Level2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bb9191ff-6598-4f5a-adda-e46fcd091012}"/>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（二）环境相关规划目标及行动成效</w:t>
              </w:r>
            </w:sdtContent>
          </w:sdt>
          <w:r>
            <w:rPr>
              <w:rFonts w:hint="eastAsia" w:ascii="仿宋_GB2312" w:hAnsi="仿宋_GB2312" w:eastAsia="仿宋_GB2312" w:cs="仿宋_GB2312"/>
              <w:sz w:val="32"/>
              <w:szCs w:val="32"/>
              <w:highlight w:val="none"/>
            </w:rPr>
            <w:tab/>
          </w:r>
          <w:bookmarkStart w:id="7" w:name="_Toc20776_WPSOffice_Level2Page"/>
          <w:r>
            <w:rPr>
              <w:rFonts w:hint="eastAsia" w:ascii="仿宋_GB2312" w:hAnsi="仿宋_GB2312" w:eastAsia="仿宋_GB2312" w:cs="仿宋_GB2312"/>
              <w:sz w:val="32"/>
              <w:szCs w:val="32"/>
              <w:highlight w:val="none"/>
            </w:rPr>
            <w:t>4</w:t>
          </w:r>
          <w:bookmarkEnd w:id="7"/>
          <w:r>
            <w:rPr>
              <w:rFonts w:hint="eastAsia" w:ascii="仿宋_GB2312" w:hAnsi="仿宋_GB2312" w:eastAsia="仿宋_GB2312" w:cs="仿宋_GB2312"/>
              <w:sz w:val="32"/>
              <w:szCs w:val="32"/>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_Toc15918_WPSOffice_Level2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272ac49a-f2ec-40c0-a264-5ff4cf90ab50}"/>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（三）下一年度规划与目标</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_Toc30457_WPSOffice_Level1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91"/>
              <w:placeholder>
                <w:docPart w:val="{958b9e60-a6a2-45ef-bfb9-92c550855d8a}"/>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三、环境相关治理结构</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7</w:t>
          </w:r>
          <w:r>
            <w:rPr>
              <w:rFonts w:hint="eastAsia" w:ascii="仿宋_GB2312" w:hAnsi="仿宋_GB2312" w:eastAsia="仿宋_GB2312" w:cs="仿宋_GB2312"/>
              <w:b/>
              <w:bCs/>
              <w:sz w:val="32"/>
              <w:szCs w:val="32"/>
              <w:highlight w:val="none"/>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_Toc22572_WPSOffice_Level1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91"/>
              <w:placeholder>
                <w:docPart w:val="{5395386e-09dc-4ec2-af7d-9c1a9090e944}"/>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四、环境相关政策制度</w:t>
              </w:r>
            </w:sdtContent>
          </w:sdt>
          <w:r>
            <w:rPr>
              <w:rFonts w:hint="eastAsia" w:ascii="仿宋_GB2312" w:hAnsi="仿宋_GB2312" w:eastAsia="仿宋_GB2312" w:cs="仿宋_GB2312"/>
              <w:b/>
              <w:bCs/>
              <w:sz w:val="32"/>
              <w:szCs w:val="32"/>
              <w:highlight w:val="none"/>
            </w:rPr>
            <w:tab/>
          </w:r>
          <w:bookmarkStart w:id="8" w:name="_Toc22572_WPSOffice_Level1Page"/>
          <w:r>
            <w:rPr>
              <w:rFonts w:hint="eastAsia" w:ascii="仿宋_GB2312" w:hAnsi="仿宋_GB2312" w:eastAsia="仿宋_GB2312" w:cs="仿宋_GB2312"/>
              <w:b/>
              <w:bCs/>
              <w:sz w:val="32"/>
              <w:szCs w:val="32"/>
              <w:highlight w:val="none"/>
            </w:rPr>
            <w:t>7</w:t>
          </w:r>
          <w:bookmarkEnd w:id="8"/>
          <w:r>
            <w:rPr>
              <w:rFonts w:hint="eastAsia" w:ascii="仿宋_GB2312" w:hAnsi="仿宋_GB2312" w:eastAsia="仿宋_GB2312" w:cs="仿宋_GB2312"/>
              <w:b/>
              <w:bCs/>
              <w:sz w:val="32"/>
              <w:szCs w:val="32"/>
              <w:highlight w:val="none"/>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_Toc12076_WPSOffice_Level1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91"/>
              <w:placeholder>
                <w:docPart w:val="{960caea0-89b9-431d-85b9-fb28d0ec853e}"/>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五、环境相关产品与服务创新</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8</w:t>
          </w:r>
          <w:r>
            <w:rPr>
              <w:rFonts w:hint="eastAsia" w:ascii="仿宋_GB2312" w:hAnsi="仿宋_GB2312" w:eastAsia="仿宋_GB2312" w:cs="仿宋_GB2312"/>
              <w:b/>
              <w:bCs/>
              <w:sz w:val="32"/>
              <w:szCs w:val="32"/>
              <w:highlight w:val="none"/>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_Toc9429_WPSOffice_Level1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91"/>
              <w:placeholder>
                <w:docPart w:val="{b6a94844-e1a4-4602-a498-5d36ebc7756b}"/>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六、环境风险控制流程</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9</w:t>
          </w:r>
          <w:r>
            <w:rPr>
              <w:rFonts w:hint="eastAsia" w:ascii="仿宋_GB2312" w:hAnsi="仿宋_GB2312" w:eastAsia="仿宋_GB2312" w:cs="仿宋_GB2312"/>
              <w:b/>
              <w:bCs/>
              <w:sz w:val="32"/>
              <w:szCs w:val="32"/>
              <w:highlight w:val="none"/>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_Toc21649_WPSOffice_Level1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91"/>
              <w:placeholder>
                <w:docPart w:val="{1972413b-f2fb-4151-89bb-939691bcd1e1}"/>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七、经营活动的环境影响及减排措施</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9</w:t>
          </w:r>
          <w:r>
            <w:rPr>
              <w:rFonts w:hint="eastAsia" w:ascii="仿宋_GB2312" w:hAnsi="仿宋_GB2312" w:eastAsia="仿宋_GB2312" w:cs="仿宋_GB2312"/>
              <w:b/>
              <w:bCs/>
              <w:sz w:val="32"/>
              <w:szCs w:val="32"/>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_Toc31784_WPSOffice_Level2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07439b73-907e-4ba8-bb9d-956fab573329}"/>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（一）经营环境影响</w:t>
              </w:r>
            </w:sdtContent>
          </w:sdt>
          <w:r>
            <w:rPr>
              <w:rFonts w:hint="eastAsia" w:ascii="仿宋_GB2312" w:hAnsi="仿宋_GB2312" w:eastAsia="仿宋_GB2312" w:cs="仿宋_GB2312"/>
              <w:sz w:val="32"/>
              <w:szCs w:val="32"/>
              <w:highlight w:val="none"/>
            </w:rPr>
            <w:tab/>
          </w:r>
          <w:bookmarkStart w:id="9" w:name="_Toc31784_WPSOffice_Level2Page"/>
          <w:r>
            <w:rPr>
              <w:rFonts w:hint="eastAsia" w:ascii="仿宋_GB2312" w:hAnsi="仿宋_GB2312" w:eastAsia="仿宋_GB2312" w:cs="仿宋_GB2312"/>
              <w:sz w:val="32"/>
              <w:szCs w:val="32"/>
              <w:highlight w:val="none"/>
            </w:rPr>
            <w:t>9</w:t>
          </w:r>
          <w:bookmarkEnd w:id="9"/>
          <w:r>
            <w:rPr>
              <w:rFonts w:hint="eastAsia" w:ascii="仿宋_GB2312" w:hAnsi="仿宋_GB2312" w:eastAsia="仿宋_GB2312" w:cs="仿宋_GB2312"/>
              <w:sz w:val="32"/>
              <w:szCs w:val="32"/>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_Toc27340_WPSOffice_Level2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74b436f2-8045-46eb-9281-1c3ae361c7db}"/>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【经营活动碳排放与资源消耗情况】</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0</w:t>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_Toc15898_WPSOffice_Level2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eb622609-f079-4e4e-9b96-fab2c52a8b36}"/>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（二）节能减排措施</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0</w:t>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_Toc23470_WPSOffice_Level2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4d2a20a7-31ee-4b4d-a111-67b724f7cadd}"/>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【运营活动中节能减排措施】</w:t>
              </w:r>
            </w:sdtContent>
          </w:sdt>
          <w:r>
            <w:rPr>
              <w:rFonts w:hint="eastAsia" w:ascii="仿宋_GB2312" w:hAnsi="仿宋_GB2312" w:eastAsia="仿宋_GB2312" w:cs="仿宋_GB2312"/>
              <w:sz w:val="32"/>
              <w:szCs w:val="32"/>
              <w:highlight w:val="none"/>
            </w:rPr>
            <w:tab/>
          </w:r>
          <w:bookmarkStart w:id="10" w:name="_Toc23470_WPSOffice_Level2Page"/>
          <w:r>
            <w:rPr>
              <w:rFonts w:hint="eastAsia" w:ascii="仿宋_GB2312" w:hAnsi="仿宋_GB2312" w:eastAsia="仿宋_GB2312" w:cs="仿宋_GB2312"/>
              <w:sz w:val="32"/>
              <w:szCs w:val="32"/>
              <w:highlight w:val="none"/>
            </w:rPr>
            <w:t>1</w:t>
          </w:r>
          <w:bookmarkEnd w:id="10"/>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_Toc20776_WPSOffice_Level1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88"/>
              <w:placeholder>
                <w:docPart w:val="{2790dc7e-17ff-4f58-ac80-b1f1284d5302}"/>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八、投融资活动对气候与环境的影响</w:t>
              </w:r>
            </w:sdtContent>
          </w:sdt>
          <w:r>
            <w:rPr>
              <w:rFonts w:hint="eastAsia" w:ascii="仿宋_GB2312" w:hAnsi="仿宋_GB2312" w:eastAsia="仿宋_GB2312" w:cs="仿宋_GB2312"/>
              <w:b/>
              <w:bCs/>
              <w:sz w:val="32"/>
              <w:szCs w:val="32"/>
              <w:highlight w:val="none"/>
            </w:rPr>
            <w:tab/>
          </w:r>
          <w:bookmarkStart w:id="11" w:name="_Toc20776_WPSOffice_Level1Page"/>
          <w:r>
            <w:rPr>
              <w:rFonts w:hint="eastAsia" w:ascii="仿宋_GB2312" w:hAnsi="仿宋_GB2312" w:eastAsia="仿宋_GB2312" w:cs="仿宋_GB2312"/>
              <w:b/>
              <w:bCs/>
              <w:sz w:val="32"/>
              <w:szCs w:val="32"/>
              <w:highlight w:val="none"/>
            </w:rPr>
            <w:t>12</w:t>
          </w:r>
          <w:bookmarkEnd w:id="11"/>
          <w:r>
            <w:rPr>
              <w:rFonts w:hint="eastAsia" w:ascii="仿宋_GB2312" w:hAnsi="仿宋_GB2312" w:eastAsia="仿宋_GB2312" w:cs="仿宋_GB2312"/>
              <w:b/>
              <w:bCs/>
              <w:sz w:val="32"/>
              <w:szCs w:val="32"/>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_Toc25476_WPSOffice_Level2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88"/>
              <w:placeholder>
                <w:docPart w:val="{0d270a8b-e123-400b-a54c-afae91838541}"/>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【投融资活动对气候与环境的影响】</w:t>
              </w:r>
            </w:sdtContent>
          </w:sdt>
          <w:r>
            <w:rPr>
              <w:rFonts w:hint="eastAsia" w:ascii="仿宋_GB2312" w:hAnsi="仿宋_GB2312" w:eastAsia="仿宋_GB2312" w:cs="仿宋_GB2312"/>
              <w:sz w:val="32"/>
              <w:szCs w:val="32"/>
              <w:highlight w:val="none"/>
            </w:rPr>
            <w:tab/>
          </w:r>
          <w:bookmarkStart w:id="12" w:name="_Toc25476_WPSOffice_Level2Page"/>
          <w:r>
            <w:rPr>
              <w:rFonts w:hint="eastAsia" w:ascii="仿宋_GB2312" w:hAnsi="仿宋_GB2312" w:eastAsia="仿宋_GB2312" w:cs="仿宋_GB2312"/>
              <w:sz w:val="32"/>
              <w:szCs w:val="32"/>
              <w:highlight w:val="none"/>
            </w:rPr>
            <w:t>1</w:t>
          </w:r>
          <w:bookmarkEnd w:id="12"/>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fldChar w:fldCharType="end"/>
          </w:r>
          <w:bookmarkStart w:id="36" w:name="_GoBack"/>
          <w:bookmarkEnd w:id="36"/>
        </w:p>
        <w:p>
          <w:pPr>
            <w:pStyle w:val="11"/>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_Toc25476_WPSOffice_Level1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88"/>
              <w:placeholder>
                <w:docPart w:val="{fdd73bb5-45dc-4561-91f9-fcb18110f00c}"/>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九、未来展望</w:t>
              </w:r>
            </w:sdtContent>
          </w:sdt>
          <w:r>
            <w:rPr>
              <w:rFonts w:hint="eastAsia" w:ascii="仿宋_GB2312" w:hAnsi="仿宋_GB2312" w:eastAsia="仿宋_GB2312" w:cs="仿宋_GB2312"/>
              <w:b/>
              <w:bCs/>
              <w:sz w:val="32"/>
              <w:szCs w:val="32"/>
              <w:highlight w:val="none"/>
            </w:rPr>
            <w:tab/>
          </w:r>
          <w:bookmarkStart w:id="13" w:name="_Toc25476_WPSOffice_Level1Page"/>
          <w:r>
            <w:rPr>
              <w:rFonts w:hint="eastAsia" w:ascii="仿宋_GB2312" w:hAnsi="仿宋_GB2312" w:eastAsia="仿宋_GB2312" w:cs="仿宋_GB2312"/>
              <w:b/>
              <w:bCs/>
              <w:sz w:val="32"/>
              <w:szCs w:val="32"/>
              <w:highlight w:val="none"/>
            </w:rPr>
            <w:t>1</w:t>
          </w:r>
          <w:bookmarkEnd w:id="13"/>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fldChar w:fldCharType="end"/>
          </w:r>
          <w:bookmarkEnd w:id="0"/>
        </w:p>
      </w:sdtContent>
    </w:sdt>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color w:val="auto"/>
          <w:sz w:val="32"/>
          <w:szCs w:val="32"/>
          <w:highlight w:val="none"/>
        </w:rPr>
      </w:pPr>
      <w:bookmarkStart w:id="14" w:name="_Toc15291_WPSOffice_Level1"/>
      <w:bookmarkStart w:id="15" w:name="_Toc21649_WPSOffice_Level1"/>
      <w:r>
        <w:rPr>
          <w:rFonts w:hint="eastAsia" w:ascii="黑体" w:hAnsi="黑体" w:eastAsia="黑体" w:cs="黑体"/>
          <w:color w:val="auto"/>
          <w:kern w:val="0"/>
          <w:sz w:val="32"/>
          <w:szCs w:val="32"/>
          <w:highlight w:val="none"/>
          <w:lang w:val="en-US" w:eastAsia="zh-CN" w:bidi="ar"/>
        </w:rPr>
        <w:t>一、关于本报告</w:t>
      </w:r>
      <w:bookmarkEnd w:id="14"/>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color w:val="auto"/>
          <w:sz w:val="32"/>
          <w:szCs w:val="32"/>
          <w:highlight w:val="none"/>
        </w:rPr>
      </w:pPr>
      <w:r>
        <w:rPr>
          <w:rFonts w:hint="eastAsia" w:ascii="仿宋_GB2312" w:hAnsi="宋体" w:eastAsia="仿宋_GB2312" w:cs="仿宋_GB2312"/>
          <w:color w:val="auto"/>
          <w:kern w:val="0"/>
          <w:sz w:val="32"/>
          <w:szCs w:val="32"/>
          <w:highlight w:val="none"/>
          <w:lang w:val="en-US" w:eastAsia="zh-CN" w:bidi="ar"/>
        </w:rPr>
        <w:t>《周宁县农村信用合作联社2024年度环境信息披露报告》（以下简称“本报告”），旨在披露周宁县农村信用合作联社在环境保护、绿色金融及绿色运营等环境方面的相关信息。除特别说明外，本报告中“本社”指代周宁县农村信用合作联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color w:val="auto"/>
          <w:sz w:val="32"/>
          <w:szCs w:val="32"/>
          <w:highlight w:val="none"/>
        </w:rPr>
      </w:pPr>
      <w:bookmarkStart w:id="16" w:name="_Toc14728_WPSOffice_Level2"/>
      <w:r>
        <w:rPr>
          <w:rFonts w:hint="eastAsia" w:ascii="仿宋_GB2312" w:hAnsi="宋体" w:eastAsia="仿宋_GB2312" w:cs="仿宋_GB2312"/>
          <w:b/>
          <w:color w:val="auto"/>
          <w:kern w:val="0"/>
          <w:sz w:val="32"/>
          <w:szCs w:val="32"/>
          <w:highlight w:val="none"/>
          <w:lang w:val="en-US" w:eastAsia="zh-CN" w:bidi="ar"/>
        </w:rPr>
        <w:t>报告期间</w:t>
      </w:r>
      <w:bookmarkEnd w:id="16"/>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color w:val="auto"/>
          <w:sz w:val="32"/>
          <w:szCs w:val="32"/>
          <w:highlight w:val="none"/>
          <w:lang w:val="en-US"/>
        </w:rPr>
      </w:pPr>
      <w:r>
        <w:rPr>
          <w:rFonts w:hint="eastAsia" w:ascii="仿宋_GB2312" w:hAnsi="宋体" w:eastAsia="仿宋_GB2312" w:cs="仿宋_GB2312"/>
          <w:color w:val="auto"/>
          <w:kern w:val="0"/>
          <w:sz w:val="32"/>
          <w:szCs w:val="32"/>
          <w:highlight w:val="none"/>
          <w:lang w:val="en-US" w:eastAsia="zh-CN" w:bidi="ar"/>
        </w:rPr>
        <w:t>2024年1月1日至2024年12月31日。</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color w:val="auto"/>
          <w:sz w:val="32"/>
          <w:szCs w:val="32"/>
          <w:highlight w:val="none"/>
        </w:rPr>
      </w:pPr>
      <w:bookmarkStart w:id="17" w:name="_Toc30457_WPSOffice_Level2"/>
      <w:r>
        <w:rPr>
          <w:rFonts w:hint="eastAsia" w:ascii="仿宋_GB2312" w:hAnsi="宋体" w:eastAsia="仿宋_GB2312" w:cs="仿宋_GB2312"/>
          <w:b/>
          <w:color w:val="auto"/>
          <w:kern w:val="0"/>
          <w:sz w:val="32"/>
          <w:szCs w:val="32"/>
          <w:highlight w:val="none"/>
          <w:lang w:val="en-US" w:eastAsia="zh-CN" w:bidi="ar"/>
        </w:rPr>
        <w:t>报告范围</w:t>
      </w:r>
      <w:bookmarkEnd w:id="17"/>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color w:val="auto"/>
          <w:sz w:val="32"/>
          <w:szCs w:val="32"/>
          <w:highlight w:val="none"/>
        </w:rPr>
      </w:pPr>
      <w:r>
        <w:rPr>
          <w:rFonts w:hint="eastAsia" w:ascii="仿宋_GB2312" w:hAnsi="宋体" w:eastAsia="仿宋_GB2312" w:cs="仿宋_GB2312"/>
          <w:color w:val="auto"/>
          <w:kern w:val="0"/>
          <w:sz w:val="32"/>
          <w:szCs w:val="32"/>
          <w:highlight w:val="none"/>
          <w:lang w:val="en-US" w:eastAsia="zh-CN" w:bidi="ar"/>
        </w:rPr>
        <w:t>本报告披露范围包括周宁县农村信用合作联社及所辖网点。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color w:val="auto"/>
          <w:sz w:val="32"/>
          <w:szCs w:val="32"/>
          <w:highlight w:val="none"/>
        </w:rPr>
      </w:pPr>
      <w:bookmarkStart w:id="18" w:name="_Toc22572_WPSOffice_Level2"/>
      <w:r>
        <w:rPr>
          <w:rFonts w:hint="eastAsia" w:ascii="仿宋_GB2312" w:hAnsi="宋体" w:eastAsia="仿宋_GB2312" w:cs="仿宋_GB2312"/>
          <w:b/>
          <w:color w:val="auto"/>
          <w:kern w:val="0"/>
          <w:sz w:val="32"/>
          <w:szCs w:val="32"/>
          <w:highlight w:val="none"/>
          <w:lang w:val="en-US" w:eastAsia="zh-CN" w:bidi="ar"/>
        </w:rPr>
        <w:t>报告数据说明</w:t>
      </w:r>
      <w:bookmarkEnd w:id="18"/>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color w:val="auto"/>
          <w:sz w:val="32"/>
          <w:szCs w:val="32"/>
          <w:highlight w:val="none"/>
        </w:rPr>
      </w:pPr>
      <w:r>
        <w:rPr>
          <w:rFonts w:hint="eastAsia" w:ascii="仿宋_GB2312" w:hAnsi="宋体" w:eastAsia="仿宋_GB2312" w:cs="仿宋_GB2312"/>
          <w:color w:val="auto"/>
          <w:kern w:val="0"/>
          <w:sz w:val="32"/>
          <w:szCs w:val="32"/>
          <w:highlight w:val="none"/>
          <w:lang w:val="en-US" w:eastAsia="zh-CN" w:bidi="ar"/>
        </w:rPr>
        <w:t>本报告中的数据以2024年1月1日至2024年12月31日期间内的数据为主，主要来源本社内部统计数据及基于报告框架的定性与定量数据信息采集。本报告所涉及货币金额以人民币为计量单位。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color w:val="auto"/>
          <w:sz w:val="32"/>
          <w:szCs w:val="32"/>
          <w:highlight w:val="none"/>
        </w:rPr>
      </w:pPr>
      <w:bookmarkStart w:id="19" w:name="_Toc12076_WPSOffice_Level2"/>
      <w:r>
        <w:rPr>
          <w:rFonts w:hint="eastAsia" w:ascii="仿宋_GB2312" w:hAnsi="宋体" w:eastAsia="仿宋_GB2312" w:cs="仿宋_GB2312"/>
          <w:b/>
          <w:color w:val="auto"/>
          <w:kern w:val="0"/>
          <w:sz w:val="32"/>
          <w:szCs w:val="32"/>
          <w:highlight w:val="none"/>
          <w:lang w:val="en-US" w:eastAsia="zh-CN" w:bidi="ar"/>
        </w:rPr>
        <w:t>报告编制依据</w:t>
      </w:r>
      <w:bookmarkEnd w:id="19"/>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color w:val="auto"/>
          <w:sz w:val="32"/>
          <w:szCs w:val="32"/>
          <w:highlight w:val="none"/>
        </w:rPr>
      </w:pPr>
      <w:r>
        <w:rPr>
          <w:rFonts w:hint="eastAsia" w:ascii="仿宋_GB2312" w:hAnsi="宋体" w:eastAsia="仿宋_GB2312" w:cs="仿宋_GB2312"/>
          <w:color w:val="auto"/>
          <w:kern w:val="0"/>
          <w:sz w:val="32"/>
          <w:szCs w:val="32"/>
          <w:highlight w:val="none"/>
          <w:lang w:val="en-US" w:eastAsia="zh-CN" w:bidi="ar"/>
        </w:rPr>
        <w:t>本报告内容遵循人民银行福建省分行发布的《福建省金融机构环境信息披露工作安排》及中国人民银行《金融机构环境信息披露指南》（JR/T0227-2021）等相关要求。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color w:val="auto"/>
          <w:sz w:val="32"/>
          <w:szCs w:val="32"/>
          <w:highlight w:val="none"/>
        </w:rPr>
      </w:pPr>
      <w:bookmarkStart w:id="20" w:name="_Toc9429_WPSOffice_Level2"/>
      <w:r>
        <w:rPr>
          <w:rFonts w:hint="eastAsia" w:ascii="仿宋_GB2312" w:hAnsi="宋体" w:eastAsia="仿宋_GB2312" w:cs="仿宋_GB2312"/>
          <w:b/>
          <w:color w:val="auto"/>
          <w:kern w:val="0"/>
          <w:sz w:val="32"/>
          <w:szCs w:val="32"/>
          <w:highlight w:val="none"/>
          <w:lang w:val="en-US" w:eastAsia="zh-CN" w:bidi="ar"/>
        </w:rPr>
        <w:t>报告发布形式</w:t>
      </w:r>
      <w:bookmarkEnd w:id="20"/>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color w:val="auto"/>
          <w:kern w:val="0"/>
          <w:sz w:val="32"/>
          <w:szCs w:val="32"/>
          <w:highlight w:val="none"/>
          <w:lang w:val="en-US" w:eastAsia="zh-CN" w:bidi="ar"/>
        </w:rPr>
        <w:t>本报告以中文电子版形式发布，您可在本社官方网站查阅。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b w:val="0"/>
          <w:bCs w:val="0"/>
          <w:color w:val="auto"/>
          <w:sz w:val="32"/>
          <w:szCs w:val="32"/>
          <w:highlight w:val="none"/>
        </w:rPr>
      </w:pPr>
      <w:bookmarkStart w:id="21" w:name="_Toc14728_WPSOffice_Level1"/>
      <w:r>
        <w:rPr>
          <w:rFonts w:hint="eastAsia" w:ascii="黑体" w:hAnsi="宋体" w:eastAsia="黑体" w:cs="黑体"/>
          <w:b w:val="0"/>
          <w:bCs w:val="0"/>
          <w:color w:val="auto"/>
          <w:kern w:val="0"/>
          <w:sz w:val="32"/>
          <w:szCs w:val="32"/>
          <w:highlight w:val="none"/>
          <w:lang w:val="en-US" w:eastAsia="zh-CN" w:bidi="ar"/>
        </w:rPr>
        <w:t>二、总体概况</w:t>
      </w:r>
      <w:bookmarkEnd w:id="21"/>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楷体_GB2312" w:hAnsi="楷体_GB2312" w:eastAsia="楷体_GB2312" w:cs="楷体_GB2312"/>
          <w:color w:val="auto"/>
          <w:sz w:val="32"/>
          <w:szCs w:val="32"/>
          <w:highlight w:val="none"/>
        </w:rPr>
      </w:pPr>
      <w:bookmarkStart w:id="22" w:name="_Toc21649_WPSOffice_Level2"/>
      <w:r>
        <w:rPr>
          <w:rFonts w:hint="eastAsia" w:ascii="楷体_GB2312" w:hAnsi="楷体_GB2312" w:eastAsia="楷体_GB2312" w:cs="楷体_GB2312"/>
          <w:b/>
          <w:color w:val="auto"/>
          <w:kern w:val="0"/>
          <w:sz w:val="32"/>
          <w:szCs w:val="32"/>
          <w:highlight w:val="none"/>
          <w:lang w:val="en-US" w:eastAsia="zh-CN" w:bidi="ar"/>
        </w:rPr>
        <w:t>（一）年度概况</w:t>
      </w:r>
      <w:bookmarkEnd w:id="2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周宁</w:t>
      </w:r>
      <w:r>
        <w:rPr>
          <w:rFonts w:hint="eastAsia" w:ascii="仿宋_GB2312" w:hAnsi="仿宋_GB2312" w:eastAsia="仿宋_GB2312" w:cs="仿宋_GB2312"/>
          <w:color w:val="auto"/>
          <w:sz w:val="32"/>
          <w:szCs w:val="32"/>
          <w:highlight w:val="none"/>
        </w:rPr>
        <w:t>农信联社下辖</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个营业网点，员工总数</w:t>
      </w:r>
      <w:r>
        <w:rPr>
          <w:rFonts w:hint="eastAsia" w:ascii="仿宋_GB2312" w:hAnsi="仿宋_GB2312" w:eastAsia="仿宋_GB2312" w:cs="仿宋_GB2312"/>
          <w:color w:val="auto"/>
          <w:sz w:val="32"/>
          <w:szCs w:val="32"/>
          <w:highlight w:val="none"/>
          <w:lang w:val="en-US" w:eastAsia="zh-CN"/>
        </w:rPr>
        <w:t>119</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val="en-US" w:eastAsia="zh-CN"/>
        </w:rPr>
        <w:t>辖内存取款一体机22台，VTM、MTM、STM合计19台，回单机4台，小额便民点131户，自助设备实现全覆盖，</w:t>
      </w:r>
      <w:r>
        <w:rPr>
          <w:rFonts w:hint="eastAsia" w:ascii="仿宋_GB2312" w:hAnsi="仿宋_GB2312" w:eastAsia="仿宋_GB2312" w:cs="仿宋_GB2312"/>
          <w:color w:val="auto"/>
          <w:sz w:val="32"/>
          <w:szCs w:val="32"/>
          <w:highlight w:val="none"/>
        </w:rPr>
        <w:t>是县域中网点最多、服务面最深、客户群体最广的一家独立县级法人金融机构，多年来一直秉承服务县域经济发展、服务三农、服务小微、服务民生的经营理念</w:t>
      </w:r>
      <w:r>
        <w:rPr>
          <w:rFonts w:hint="eastAsia" w:ascii="仿宋_GB2312" w:hAnsi="仿宋_GB2312" w:eastAsia="仿宋_GB2312" w:cs="仿宋_GB2312"/>
          <w:color w:val="auto"/>
          <w:sz w:val="32"/>
          <w:szCs w:val="32"/>
          <w:highlight w:val="none"/>
          <w:lang w:eastAsia="zh-CN"/>
        </w:rPr>
        <w:t>，持续加大绿色信贷投放力度，</w:t>
      </w:r>
      <w:r>
        <w:rPr>
          <w:rFonts w:hint="eastAsia" w:ascii="仿宋_GB2312" w:hAnsi="宋体" w:eastAsia="仿宋_GB2312" w:cs="仿宋_GB2312"/>
          <w:color w:val="auto"/>
          <w:kern w:val="0"/>
          <w:sz w:val="32"/>
          <w:szCs w:val="32"/>
          <w:highlight w:val="none"/>
          <w:lang w:val="en-US" w:eastAsia="zh-CN" w:bidi="ar"/>
        </w:rPr>
        <w:t>切实推动县域绿色金融发展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经过发展与积累，</w:t>
      </w:r>
      <w:r>
        <w:rPr>
          <w:rFonts w:hint="eastAsia" w:ascii="仿宋_GB2312" w:hAnsi="仿宋_GB2312" w:eastAsia="仿宋_GB2312" w:cs="仿宋_GB2312"/>
          <w:color w:val="auto"/>
          <w:sz w:val="32"/>
          <w:szCs w:val="32"/>
          <w:highlight w:val="none"/>
          <w:lang w:val="en-US" w:eastAsia="zh-CN"/>
        </w:rPr>
        <w:t>各项存款余额37.64亿元，各项贷款余额28.15亿元</w:t>
      </w:r>
      <w:r>
        <w:rPr>
          <w:rFonts w:hint="eastAsia" w:ascii="仿宋_GB2312" w:hAnsi="仿宋_GB2312" w:eastAsia="仿宋_GB2312" w:cs="仿宋_GB2312"/>
          <w:color w:val="auto"/>
          <w:sz w:val="32"/>
          <w:szCs w:val="32"/>
          <w:highlight w:val="none"/>
        </w:rPr>
        <w:t>，近年来纳税</w:t>
      </w:r>
      <w:r>
        <w:rPr>
          <w:rFonts w:hint="eastAsia" w:ascii="仿宋_GB2312" w:hAnsi="仿宋_GB2312" w:eastAsia="仿宋_GB2312" w:cs="仿宋_GB2312"/>
          <w:color w:val="auto"/>
          <w:sz w:val="32"/>
          <w:szCs w:val="32"/>
          <w:highlight w:val="none"/>
          <w:lang w:val="en-US" w:eastAsia="zh-CN"/>
        </w:rPr>
        <w:t>均居县域前列</w:t>
      </w:r>
      <w:r>
        <w:rPr>
          <w:rFonts w:hint="eastAsia" w:ascii="仿宋_GB2312" w:hAnsi="仿宋_GB2312" w:eastAsia="仿宋_GB2312" w:cs="仿宋_GB2312"/>
          <w:color w:val="auto"/>
          <w:sz w:val="32"/>
          <w:szCs w:val="32"/>
          <w:highlight w:val="none"/>
        </w:rPr>
        <w:t>，成为全县重要的财政税收来源。存贷款市场份额均位于全县金融机构首位，</w:t>
      </w:r>
      <w:r>
        <w:rPr>
          <w:rFonts w:hint="eastAsia" w:ascii="仿宋_GB2312" w:hAnsi="宋体" w:eastAsia="仿宋_GB2312" w:cs="仿宋_GB2312"/>
          <w:color w:val="auto"/>
          <w:kern w:val="0"/>
          <w:sz w:val="32"/>
          <w:szCs w:val="32"/>
          <w:highlight w:val="none"/>
          <w:lang w:val="en-US" w:eastAsia="zh-CN" w:bidi="ar"/>
        </w:rPr>
        <w:t>主要监管指标持续向好，转型发展持续推进。</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楷体_GB2312" w:hAnsi="楷体_GB2312" w:eastAsia="楷体_GB2312" w:cs="楷体_GB2312"/>
          <w:color w:val="auto"/>
          <w:sz w:val="32"/>
          <w:szCs w:val="32"/>
          <w:highlight w:val="none"/>
        </w:rPr>
      </w:pPr>
      <w:bookmarkStart w:id="23" w:name="_Toc20776_WPSOffice_Level2"/>
      <w:r>
        <w:rPr>
          <w:rFonts w:hint="eastAsia" w:ascii="楷体_GB2312" w:hAnsi="楷体_GB2312" w:eastAsia="楷体_GB2312" w:cs="楷体_GB2312"/>
          <w:b/>
          <w:color w:val="auto"/>
          <w:kern w:val="0"/>
          <w:sz w:val="32"/>
          <w:szCs w:val="32"/>
          <w:highlight w:val="none"/>
          <w:lang w:val="en-US" w:eastAsia="zh-CN" w:bidi="ar"/>
        </w:rPr>
        <w:t>（二）环境相关规划目标及行动成效</w:t>
      </w:r>
      <w:bookmarkEnd w:id="23"/>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b/>
          <w:color w:val="auto"/>
          <w:kern w:val="0"/>
          <w:sz w:val="32"/>
          <w:szCs w:val="32"/>
          <w:highlight w:val="none"/>
          <w:lang w:val="en-US" w:eastAsia="zh-CN" w:bidi="ar"/>
        </w:rPr>
        <w:t>1.规划及目标。</w:t>
      </w:r>
      <w:r>
        <w:rPr>
          <w:rFonts w:hint="eastAsia" w:ascii="仿宋_GB2312" w:hAnsi="宋体" w:eastAsia="仿宋_GB2312" w:cs="仿宋_GB2312"/>
          <w:color w:val="auto"/>
          <w:kern w:val="0"/>
          <w:sz w:val="32"/>
          <w:szCs w:val="32"/>
          <w:highlight w:val="none"/>
          <w:lang w:val="en-US" w:eastAsia="zh-CN" w:bidi="ar"/>
        </w:rPr>
        <w:t>以习近平新时代中国特色社会主义思想为指导，全面贯彻习近平生态文明思想，践行“绿水青山就是金山银山”的新发展理念，主动融入宁德市绿色金融建设，周宁农信联社勇当绿色金融的排头兵和先行者，立足县域实际，在县委、县政府指导下，紧扣“三库+碳库”绿色生态理念，围绕抛荒撂荒耕地复垦、碳排放、林下经济、现代农业等重点工作，推出了“垦荒贷”“碳汇贷”“林e贷”等产品。将绿色金融战略与农村金融战略有机融合，大力推进绿色金融创新，打造一批可复制、可推广的绿色金融产品和服务，引导资金向低碳、环保、节能领域倾斜，进一步打通“绿水青山”向“金山银山”的转换通道，着力打造周宁农信绿色金融服务品牌，更好支持本社高质量发展，推动绿色金融发展迈上新台阶。</w:t>
      </w:r>
    </w:p>
    <w:p>
      <w:pPr>
        <w:keepNext w:val="0"/>
        <w:keepLines w:val="0"/>
        <w:pageBreakBefore w:val="0"/>
        <w:widowControl/>
        <w:kinsoku/>
        <w:wordWrap/>
        <w:overflowPunct/>
        <w:topLinePunct w:val="0"/>
        <w:autoSpaceDE/>
        <w:bidi w:val="0"/>
        <w:snapToGrid/>
        <w:spacing w:line="240" w:lineRule="auto"/>
        <w:ind w:firstLine="643" w:firstLineChars="200"/>
        <w:rPr>
          <w:rFonts w:hint="eastAsia" w:ascii="仿宋_GB2312" w:hAnsi="仿宋_GB2312" w:eastAsia="仿宋_GB2312" w:cs="仿宋_GB2312"/>
          <w:b/>
          <w:color w:val="auto"/>
          <w:kern w:val="0"/>
          <w:sz w:val="32"/>
          <w:szCs w:val="32"/>
          <w:highlight w:val="none"/>
          <w:lang w:val="en-US" w:eastAsia="zh-CN" w:bidi="ar"/>
        </w:rPr>
      </w:pPr>
      <w:r>
        <w:rPr>
          <w:rFonts w:hint="eastAsia" w:ascii="仿宋_GB2312" w:hAnsi="仿宋_GB2312" w:eastAsia="仿宋_GB2312" w:cs="仿宋_GB2312"/>
          <w:b/>
          <w:color w:val="auto"/>
          <w:kern w:val="0"/>
          <w:sz w:val="32"/>
          <w:szCs w:val="32"/>
          <w:highlight w:val="none"/>
          <w:lang w:val="en-US" w:eastAsia="zh-CN" w:bidi="ar"/>
        </w:rPr>
        <w:t>2.行动成效。</w:t>
      </w:r>
    </w:p>
    <w:p>
      <w:pPr>
        <w:keepNext w:val="0"/>
        <w:keepLines w:val="0"/>
        <w:pageBreakBefore w:val="0"/>
        <w:widowControl/>
        <w:kinsoku/>
        <w:wordWrap/>
        <w:overflowPunct/>
        <w:topLinePunct w:val="0"/>
        <w:autoSpaceDE/>
        <w:bidi w:val="0"/>
        <w:snapToGrid/>
        <w:spacing w:line="240" w:lineRule="auto"/>
        <w:ind w:firstLine="643" w:firstLineChars="200"/>
        <w:rPr>
          <w:rFonts w:hint="eastAsia" w:ascii="仿宋_GB2312" w:hAnsi="仿宋_GB2312" w:eastAsia="仿宋_GB2312" w:cs="仿宋_GB2312"/>
          <w:b/>
          <w:color w:val="auto"/>
          <w:kern w:val="0"/>
          <w:sz w:val="32"/>
          <w:szCs w:val="32"/>
          <w:highlight w:val="none"/>
          <w:lang w:val="en-US" w:eastAsia="zh-CN" w:bidi="ar"/>
        </w:rPr>
      </w:pPr>
      <w:r>
        <w:rPr>
          <w:rFonts w:hint="eastAsia" w:ascii="仿宋_GB2312" w:hAnsi="仿宋_GB2312" w:eastAsia="仿宋_GB2312" w:cs="仿宋_GB2312"/>
          <w:b/>
          <w:color w:val="auto"/>
          <w:kern w:val="0"/>
          <w:sz w:val="32"/>
          <w:szCs w:val="32"/>
          <w:highlight w:val="none"/>
          <w:lang w:val="en-US" w:eastAsia="zh-CN" w:bidi="ar"/>
        </w:rPr>
        <w:t>（1）绿色信贷规模持续增长。</w:t>
      </w:r>
      <w:r>
        <w:rPr>
          <w:rFonts w:hint="eastAsia" w:ascii="仿宋_GB2312" w:hAnsi="仿宋_GB2312" w:eastAsia="仿宋_GB2312" w:cs="仿宋_GB2312"/>
          <w:color w:val="auto"/>
          <w:kern w:val="0"/>
          <w:sz w:val="32"/>
          <w:szCs w:val="32"/>
          <w:highlight w:val="none"/>
          <w:lang w:val="en-US" w:eastAsia="zh-CN" w:bidi="ar"/>
        </w:rPr>
        <w:t>通过持续推进“党建+金融助理+多社融合”工程，强化共建单位战略合作，充分运用货币、财政政策，聚焦普惠金融、绿色发展、乡村振兴等重点领域，加大信贷投放力度，</w:t>
      </w:r>
      <w:r>
        <w:rPr>
          <w:rFonts w:hint="eastAsia" w:ascii="仿宋_GB2312" w:hAnsi="仿宋_GB2312" w:eastAsia="仿宋_GB2312" w:cs="仿宋_GB2312"/>
          <w:color w:val="auto"/>
          <w:sz w:val="32"/>
          <w:szCs w:val="32"/>
          <w:highlight w:val="none"/>
        </w:rPr>
        <w:t>截止202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ascii="仿宋_GB2312" w:hAnsi="仿宋_GB2312" w:eastAsia="仿宋_GB2312" w:cs="仿宋_GB2312"/>
          <w:color w:val="auto"/>
          <w:sz w:val="32"/>
          <w:szCs w:val="32"/>
          <w:highlight w:val="none"/>
        </w:rPr>
        <w:t>12</w:t>
      </w:r>
      <w:r>
        <w:rPr>
          <w:rFonts w:hint="eastAsia" w:ascii="仿宋_GB2312" w:hAnsi="仿宋_GB2312" w:eastAsia="仿宋_GB2312" w:cs="仿宋_GB2312"/>
          <w:color w:val="auto"/>
          <w:sz w:val="32"/>
          <w:szCs w:val="32"/>
          <w:highlight w:val="none"/>
        </w:rPr>
        <w:t>月末，</w:t>
      </w:r>
      <w:r>
        <w:rPr>
          <w:rFonts w:hint="eastAsia" w:ascii="仿宋_GB2312" w:hAnsi="仿宋_GB2312" w:eastAsia="仿宋_GB2312" w:cs="仿宋_GB2312"/>
          <w:color w:val="auto"/>
          <w:sz w:val="32"/>
          <w:szCs w:val="32"/>
          <w:highlight w:val="none"/>
          <w:lang w:val="en-US" w:eastAsia="zh-CN"/>
        </w:rPr>
        <w:t>周宁联社</w:t>
      </w:r>
      <w:r>
        <w:rPr>
          <w:rFonts w:hint="eastAsia" w:ascii="仿宋_GB2312" w:hAnsi="仿宋_GB2312" w:eastAsia="仿宋_GB2312" w:cs="仿宋_GB2312"/>
          <w:color w:val="auto"/>
          <w:sz w:val="32"/>
          <w:szCs w:val="32"/>
          <w:highlight w:val="none"/>
        </w:rPr>
        <w:t>发放绿色贷款余额</w:t>
      </w:r>
      <w:r>
        <w:rPr>
          <w:rFonts w:hint="eastAsia" w:ascii="仿宋_GB2312" w:hAnsi="仿宋_GB2312" w:eastAsia="仿宋_GB2312" w:cs="仿宋_GB2312"/>
          <w:color w:val="auto"/>
          <w:sz w:val="32"/>
          <w:szCs w:val="32"/>
          <w:highlight w:val="none"/>
          <w:lang w:val="en-US" w:eastAsia="zh-CN"/>
        </w:rPr>
        <w:t>2182.76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其中，发放对公贷</w:t>
      </w:r>
      <w:r>
        <w:rPr>
          <w:rFonts w:hint="eastAsia" w:ascii="仿宋_GB2312" w:hAnsi="仿宋_GB2312" w:eastAsia="仿宋_GB2312" w:cs="仿宋_GB2312"/>
          <w:color w:val="auto"/>
          <w:sz w:val="32"/>
          <w:szCs w:val="32"/>
          <w:highlight w:val="none"/>
          <w:lang w:val="en-US" w:eastAsia="zh-CN"/>
        </w:rPr>
        <w:t>1193.80</w:t>
      </w:r>
      <w:r>
        <w:rPr>
          <w:rFonts w:hint="eastAsia" w:ascii="仿宋_GB2312" w:hAnsi="仿宋_GB2312" w:eastAsia="仿宋_GB2312" w:cs="仿宋_GB2312"/>
          <w:color w:val="auto"/>
          <w:sz w:val="32"/>
          <w:szCs w:val="32"/>
          <w:highlight w:val="none"/>
        </w:rPr>
        <w:t>万元，主要分布在</w:t>
      </w:r>
      <w:r>
        <w:rPr>
          <w:rFonts w:hint="eastAsia" w:ascii="仿宋_GB2312" w:hAnsi="仿宋_GB2312" w:eastAsia="仿宋_GB2312" w:cs="仿宋_GB2312"/>
          <w:color w:val="auto"/>
          <w:sz w:val="32"/>
          <w:szCs w:val="32"/>
          <w:highlight w:val="none"/>
          <w:lang w:val="en-US" w:eastAsia="zh-CN"/>
        </w:rPr>
        <w:t>有机绿色等认证农业888.8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森林游憩和康养</w:t>
      </w:r>
      <w:r>
        <w:rPr>
          <w:rFonts w:hint="eastAsia" w:ascii="仿宋_GB2312" w:hAnsi="仿宋_GB2312" w:eastAsia="仿宋_GB2312" w:cs="仿宋_GB2312"/>
          <w:color w:val="auto"/>
          <w:sz w:val="32"/>
          <w:szCs w:val="32"/>
          <w:highlight w:val="none"/>
          <w:lang w:val="en-US" w:eastAsia="zh-CN"/>
        </w:rPr>
        <w:t>260</w:t>
      </w:r>
      <w:r>
        <w:rPr>
          <w:rFonts w:hint="eastAsia" w:ascii="仿宋_GB2312" w:hAnsi="仿宋_GB2312" w:eastAsia="仿宋_GB2312" w:cs="仿宋_GB2312"/>
          <w:color w:val="auto"/>
          <w:sz w:val="32"/>
          <w:szCs w:val="32"/>
          <w:highlight w:val="none"/>
        </w:rPr>
        <w:t>万元、林下种养殖和林下采集</w:t>
      </w:r>
      <w:r>
        <w:rPr>
          <w:rFonts w:hint="eastAsia" w:ascii="仿宋_GB2312" w:hAnsi="仿宋_GB2312" w:eastAsia="仿宋_GB2312" w:cs="仿宋_GB2312"/>
          <w:color w:val="auto"/>
          <w:sz w:val="32"/>
          <w:szCs w:val="32"/>
          <w:highlight w:val="none"/>
          <w:lang w:val="en-US" w:eastAsia="zh-CN"/>
        </w:rPr>
        <w:t>45</w:t>
      </w:r>
      <w:r>
        <w:rPr>
          <w:rFonts w:hint="eastAsia" w:ascii="仿宋_GB2312" w:hAnsi="仿宋_GB2312" w:eastAsia="仿宋_GB2312" w:cs="仿宋_GB2312"/>
          <w:color w:val="auto"/>
          <w:sz w:val="32"/>
          <w:szCs w:val="32"/>
          <w:highlight w:val="none"/>
        </w:rPr>
        <w:t>万元；个人绿色贷款</w:t>
      </w:r>
      <w:r>
        <w:rPr>
          <w:rFonts w:hint="eastAsia" w:ascii="仿宋_GB2312" w:hAnsi="仿宋_GB2312" w:eastAsia="仿宋_GB2312" w:cs="仿宋_GB2312"/>
          <w:color w:val="auto"/>
          <w:sz w:val="32"/>
          <w:szCs w:val="32"/>
          <w:highlight w:val="none"/>
          <w:lang w:val="en-US" w:eastAsia="zh-CN"/>
        </w:rPr>
        <w:t>988.96</w:t>
      </w:r>
      <w:r>
        <w:rPr>
          <w:rFonts w:hint="eastAsia" w:ascii="仿宋_GB2312" w:hAnsi="仿宋_GB2312" w:eastAsia="仿宋_GB2312" w:cs="仿宋_GB2312"/>
          <w:color w:val="auto"/>
          <w:sz w:val="32"/>
          <w:szCs w:val="32"/>
          <w:highlight w:val="none"/>
        </w:rPr>
        <w:t>万元，主要分布在废旧物资循环利用</w:t>
      </w:r>
      <w:r>
        <w:rPr>
          <w:rFonts w:hint="eastAsia" w:ascii="仿宋_GB2312" w:hAnsi="仿宋_GB2312" w:eastAsia="仿宋_GB2312" w:cs="仿宋_GB2312"/>
          <w:color w:val="auto"/>
          <w:sz w:val="32"/>
          <w:szCs w:val="32"/>
          <w:highlight w:val="none"/>
          <w:lang w:val="en-US" w:eastAsia="zh-CN"/>
        </w:rPr>
        <w:t>544.89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林下种养殖和林下采集</w:t>
      </w:r>
      <w:r>
        <w:rPr>
          <w:rFonts w:hint="eastAsia" w:ascii="仿宋_GB2312" w:hAnsi="仿宋_GB2312" w:eastAsia="仿宋_GB2312" w:cs="仿宋_GB2312"/>
          <w:color w:val="auto"/>
          <w:sz w:val="32"/>
          <w:szCs w:val="32"/>
          <w:highlight w:val="none"/>
          <w:lang w:val="en-US" w:eastAsia="zh-CN"/>
        </w:rPr>
        <w:t>239.4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竹产业</w:t>
      </w:r>
      <w:r>
        <w:rPr>
          <w:rFonts w:hint="eastAsia" w:ascii="仿宋_GB2312" w:hAnsi="仿宋_GB2312" w:eastAsia="仿宋_GB2312" w:cs="仿宋_GB2312"/>
          <w:color w:val="auto"/>
          <w:sz w:val="32"/>
          <w:szCs w:val="32"/>
          <w:highlight w:val="none"/>
          <w:lang w:val="en-US" w:eastAsia="zh-CN"/>
        </w:rPr>
        <w:t>110.54万元、</w:t>
      </w:r>
      <w:r>
        <w:rPr>
          <w:rFonts w:hint="eastAsia" w:ascii="仿宋_GB2312" w:hAnsi="仿宋_GB2312" w:eastAsia="仿宋_GB2312" w:cs="仿宋_GB2312"/>
          <w:color w:val="auto"/>
          <w:sz w:val="32"/>
          <w:szCs w:val="32"/>
          <w:highlight w:val="none"/>
        </w:rPr>
        <w:t>园林绿化建设</w:t>
      </w:r>
      <w:r>
        <w:rPr>
          <w:rFonts w:hint="eastAsia" w:ascii="仿宋_GB2312" w:hAnsi="仿宋_GB2312" w:eastAsia="仿宋_GB2312" w:cs="仿宋_GB2312"/>
          <w:color w:val="auto"/>
          <w:sz w:val="32"/>
          <w:szCs w:val="32"/>
          <w:highlight w:val="none"/>
          <w:lang w:val="en-US" w:eastAsia="zh-CN"/>
        </w:rPr>
        <w:t>94.12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b/>
          <w:color w:val="auto"/>
          <w:kern w:val="0"/>
          <w:sz w:val="32"/>
          <w:szCs w:val="32"/>
          <w:highlight w:val="none"/>
          <w:lang w:val="en-US" w:eastAsia="zh-CN" w:bidi="ar"/>
        </w:rPr>
        <w:t>（2）绿色信贷产品持续丰富。</w:t>
      </w:r>
      <w:r>
        <w:rPr>
          <w:rFonts w:hint="eastAsia" w:ascii="仿宋_GB2312" w:hAnsi="仿宋_GB2312" w:eastAsia="仿宋_GB2312" w:cs="仿宋_GB2312"/>
          <w:b w:val="0"/>
          <w:bCs/>
          <w:color w:val="auto"/>
          <w:kern w:val="0"/>
          <w:sz w:val="32"/>
          <w:szCs w:val="32"/>
          <w:highlight w:val="none"/>
          <w:lang w:val="en-US" w:eastAsia="zh-CN" w:bidi="ar"/>
        </w:rPr>
        <w:t>秉承以“绿水青山就是金山银行”理念助力实体产业绿色转型，立足绿色发展、绿色转型需求，加大绿色金融产品和服务创新，推出了“碳汇贷”“林e贷”等绿色信贷产品。</w:t>
      </w:r>
      <w:r>
        <w:rPr>
          <w:rFonts w:hint="eastAsia" w:ascii="仿宋_GB2312" w:hAnsi="仿宋_GB2312" w:eastAsia="仿宋_GB2312" w:cs="仿宋_GB2312"/>
          <w:b/>
          <w:color w:val="auto"/>
          <w:kern w:val="0"/>
          <w:sz w:val="32"/>
          <w:szCs w:val="32"/>
          <w:highlight w:val="none"/>
          <w:lang w:val="en-US" w:eastAsia="zh-CN" w:bidi="ar"/>
        </w:rPr>
        <w:t>（3）绿色工作机制持续完善机构设置方面。</w:t>
      </w:r>
      <w:r>
        <w:rPr>
          <w:rFonts w:hint="eastAsia" w:ascii="仿宋_GB2312" w:hAnsi="仿宋_GB2312" w:eastAsia="仿宋_GB2312" w:cs="仿宋_GB2312"/>
          <w:b w:val="0"/>
          <w:bCs/>
          <w:color w:val="auto"/>
          <w:kern w:val="0"/>
          <w:sz w:val="32"/>
          <w:szCs w:val="32"/>
          <w:highlight w:val="none"/>
          <w:lang w:val="en-US" w:eastAsia="zh-CN" w:bidi="ar"/>
        </w:rPr>
        <w:t>健全绿色金融服务机制,制定了《周宁县农村信用合作联社“十四五”期间推进绿色金融发展的工作方案》;完善绿色金融经营绩效考核体系,将绿色信贷考核指标完成情况作为扣分项纳入年度经营管理绩效考核;</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楷体_GB2312" w:hAnsi="楷体_GB2312" w:eastAsia="楷体_GB2312" w:cs="楷体_GB2312"/>
          <w:color w:val="auto"/>
          <w:sz w:val="32"/>
          <w:szCs w:val="32"/>
          <w:highlight w:val="none"/>
        </w:rPr>
      </w:pPr>
      <w:bookmarkStart w:id="24" w:name="_Toc15918_WPSOffice_Level2"/>
      <w:r>
        <w:rPr>
          <w:rFonts w:hint="eastAsia" w:ascii="楷体_GB2312" w:hAnsi="楷体_GB2312" w:eastAsia="楷体_GB2312" w:cs="楷体_GB2312"/>
          <w:b/>
          <w:color w:val="auto"/>
          <w:kern w:val="0"/>
          <w:sz w:val="32"/>
          <w:szCs w:val="32"/>
          <w:highlight w:val="none"/>
          <w:lang w:val="en-US" w:eastAsia="zh-CN" w:bidi="ar"/>
        </w:rPr>
        <w:t>（三）下一年度规划与目标</w:t>
      </w:r>
      <w:bookmarkEnd w:id="24"/>
    </w:p>
    <w:p>
      <w:pPr>
        <w:keepNext w:val="0"/>
        <w:keepLines w:val="0"/>
        <w:pageBreakBefore w:val="0"/>
        <w:widowControl/>
        <w:pBdr>
          <w:bottom w:val="single" w:color="FFFFFF" w:sz="4" w:space="26"/>
        </w:pBdr>
        <w:kinsoku/>
        <w:wordWrap/>
        <w:overflowPunct/>
        <w:topLinePunct w:val="0"/>
        <w:autoSpaceDE/>
        <w:autoSpaceDN w:val="0"/>
        <w:bidi w:val="0"/>
        <w:adjustRightInd w:val="0"/>
        <w:snapToGrid/>
        <w:spacing w:beforeAutospacing="0" w:afterAutospacing="0" w:line="240" w:lineRule="auto"/>
        <w:ind w:left="0" w:leftChars="0" w:right="0" w:rightChars="0" w:firstLine="640" w:firstLineChars="200"/>
        <w:contextualSpacing/>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健全绿色金融组织体系。</w:t>
      </w:r>
      <w:r>
        <w:rPr>
          <w:rFonts w:hint="eastAsia" w:ascii="仿宋_GB2312" w:hAnsi="仿宋_GB2312" w:eastAsia="仿宋_GB2312" w:cs="仿宋_GB2312"/>
          <w:color w:val="auto"/>
          <w:sz w:val="32"/>
          <w:szCs w:val="32"/>
          <w:highlight w:val="none"/>
          <w:lang w:eastAsia="zh-CN"/>
        </w:rPr>
        <w:t>联社</w:t>
      </w:r>
      <w:r>
        <w:rPr>
          <w:rFonts w:hint="eastAsia" w:ascii="仿宋_GB2312" w:hAnsi="仿宋_GB2312" w:eastAsia="仿宋_GB2312" w:cs="仿宋_GB2312"/>
          <w:color w:val="auto"/>
          <w:sz w:val="32"/>
          <w:szCs w:val="32"/>
          <w:highlight w:val="none"/>
        </w:rPr>
        <w:t>党委和“三会一层”结合实际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实行绿色金融“一把手负责制”。明确绿色金融</w:t>
      </w:r>
      <w:r>
        <w:rPr>
          <w:rFonts w:hint="eastAsia" w:ascii="仿宋_GB2312" w:hAnsi="仿宋_GB2312" w:eastAsia="仿宋_GB2312" w:cs="仿宋_GB2312"/>
          <w:color w:val="auto"/>
          <w:sz w:val="32"/>
          <w:szCs w:val="32"/>
          <w:highlight w:val="none"/>
          <w:lang w:eastAsia="zh-CN"/>
        </w:rPr>
        <w:t>由</w:t>
      </w:r>
      <w:r>
        <w:rPr>
          <w:rFonts w:hint="eastAsia" w:ascii="仿宋_GB2312" w:hAnsi="仿宋_GB2312" w:eastAsia="仿宋_GB2312" w:cs="仿宋_GB2312"/>
          <w:color w:val="auto"/>
          <w:sz w:val="32"/>
          <w:szCs w:val="32"/>
          <w:highlight w:val="none"/>
          <w:lang w:val="en-US" w:eastAsia="zh-CN"/>
        </w:rPr>
        <w:t>普惠金融部</w:t>
      </w:r>
      <w:r>
        <w:rPr>
          <w:rFonts w:hint="eastAsia" w:ascii="仿宋_GB2312" w:hAnsi="仿宋_GB2312" w:eastAsia="仿宋_GB2312" w:cs="仿宋_GB2312"/>
          <w:color w:val="auto"/>
          <w:sz w:val="32"/>
          <w:szCs w:val="32"/>
          <w:highlight w:val="none"/>
        </w:rPr>
        <w:t>牵头，加大绿色金融专业人才培养力度，壮大专业队伍。</w:t>
      </w:r>
    </w:p>
    <w:p>
      <w:pPr>
        <w:keepNext w:val="0"/>
        <w:keepLines w:val="0"/>
        <w:pageBreakBefore w:val="0"/>
        <w:widowControl/>
        <w:pBdr>
          <w:bottom w:val="single" w:color="FFFFFF" w:sz="4" w:space="26"/>
        </w:pBdr>
        <w:kinsoku/>
        <w:wordWrap/>
        <w:overflowPunct/>
        <w:topLinePunct w:val="0"/>
        <w:autoSpaceDE/>
        <w:autoSpaceDN w:val="0"/>
        <w:bidi w:val="0"/>
        <w:adjustRightInd w:val="0"/>
        <w:snapToGrid/>
        <w:spacing w:beforeAutospacing="0" w:afterAutospacing="0" w:line="240" w:lineRule="auto"/>
        <w:ind w:left="0" w:leftChars="0" w:right="0" w:rightChars="0" w:firstLine="640" w:firstLineChars="200"/>
        <w:contextualSpacing/>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按照市场化原则支持绿色低碳发展，向公众倡导绿色低碳生活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循环经济等理念。加快推动绿色信贷政策支持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标准制定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正向激励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产品创新等体制机制建设。创新绿色金融产品与服务。推进绿色金融，加强与林业部门双基联动，</w:t>
      </w:r>
      <w:r>
        <w:rPr>
          <w:rFonts w:hint="eastAsia" w:ascii="仿宋_GB2312" w:hAnsi="仿宋_GB2312" w:eastAsia="仿宋_GB2312" w:cs="仿宋_GB2312"/>
          <w:color w:val="auto"/>
          <w:sz w:val="32"/>
          <w:szCs w:val="32"/>
          <w:highlight w:val="none"/>
          <w:lang w:eastAsia="zh-CN"/>
        </w:rPr>
        <w:t>探索</w:t>
      </w:r>
      <w:r>
        <w:rPr>
          <w:rFonts w:hint="eastAsia" w:ascii="仿宋_GB2312" w:hAnsi="仿宋_GB2312" w:eastAsia="仿宋_GB2312" w:cs="仿宋_GB2312"/>
          <w:color w:val="auto"/>
          <w:sz w:val="32"/>
          <w:szCs w:val="32"/>
          <w:highlight w:val="none"/>
        </w:rPr>
        <w:t>推动林权登记、公开流转、体内流转等政策落地，创新支持林业发展新模式，配套“林</w:t>
      </w:r>
      <w:r>
        <w:rPr>
          <w:rFonts w:hint="eastAsia" w:ascii="仿宋_GB2312" w:hAnsi="仿宋_GB2312" w:eastAsia="仿宋_GB2312" w:cs="仿宋_GB2312"/>
          <w:color w:val="auto"/>
          <w:sz w:val="32"/>
          <w:szCs w:val="32"/>
          <w:highlight w:val="none"/>
          <w:lang w:val="en-US" w:eastAsia="zh-CN"/>
        </w:rPr>
        <w:t>e</w:t>
      </w:r>
      <w:r>
        <w:rPr>
          <w:rFonts w:hint="eastAsia" w:ascii="仿宋_GB2312" w:hAnsi="仿宋_GB2312" w:eastAsia="仿宋_GB2312" w:cs="仿宋_GB2312"/>
          <w:color w:val="auto"/>
          <w:sz w:val="32"/>
          <w:szCs w:val="32"/>
          <w:highlight w:val="none"/>
        </w:rPr>
        <w:t>贷”系列贷款产品，努力提升绿色信贷资金占比。着力在绿色金融领域构建“政策+产品+客户”的闭环体系，为具有显著碳减排效应的重点领域提供优惠利率融资</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pBdr>
          <w:bottom w:val="single" w:color="FFFFFF" w:sz="4" w:space="26"/>
        </w:pBdr>
        <w:kinsoku/>
        <w:wordWrap/>
        <w:overflowPunct/>
        <w:topLinePunct w:val="0"/>
        <w:autoSpaceDE/>
        <w:autoSpaceDN w:val="0"/>
        <w:bidi w:val="0"/>
        <w:adjustRightInd w:val="0"/>
        <w:snapToGrid/>
        <w:spacing w:beforeAutospacing="0" w:afterAutospacing="0" w:line="240" w:lineRule="auto"/>
        <w:ind w:left="0" w:leftChars="0" w:right="0" w:rightChars="0" w:firstLine="640" w:firstLineChars="200"/>
        <w:contextualSpacing/>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加大金融支持生态环境治理力度。积极支持</w:t>
      </w:r>
      <w:r>
        <w:rPr>
          <w:rFonts w:hint="eastAsia" w:ascii="仿宋_GB2312" w:hAnsi="仿宋_GB2312" w:eastAsia="仿宋_GB2312" w:cs="仿宋_GB2312"/>
          <w:color w:val="auto"/>
          <w:sz w:val="32"/>
          <w:szCs w:val="32"/>
          <w:highlight w:val="none"/>
          <w:lang w:eastAsia="zh-CN"/>
        </w:rPr>
        <w:t>县域</w:t>
      </w:r>
      <w:r>
        <w:rPr>
          <w:rFonts w:hint="eastAsia" w:ascii="仿宋_GB2312" w:hAnsi="仿宋_GB2312" w:eastAsia="仿宋_GB2312" w:cs="仿宋_GB2312"/>
          <w:color w:val="auto"/>
          <w:sz w:val="32"/>
          <w:szCs w:val="32"/>
          <w:highlight w:val="none"/>
        </w:rPr>
        <w:t>生态保护修复重点工程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大气污染治理重大工程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水环境综合治理重大工程建设，加大力度挖掘储备生态修复项目融资需求，助力相关部门治理污染源头，提升生态修复水平。</w:t>
      </w:r>
    </w:p>
    <w:p>
      <w:pPr>
        <w:keepNext w:val="0"/>
        <w:keepLines w:val="0"/>
        <w:pageBreakBefore w:val="0"/>
        <w:widowControl/>
        <w:pBdr>
          <w:bottom w:val="single" w:color="FFFFFF" w:sz="4" w:space="26"/>
        </w:pBdr>
        <w:kinsoku/>
        <w:wordWrap/>
        <w:overflowPunct/>
        <w:topLinePunct w:val="0"/>
        <w:autoSpaceDE/>
        <w:autoSpaceDN w:val="0"/>
        <w:bidi w:val="0"/>
        <w:adjustRightInd w:val="0"/>
        <w:snapToGrid/>
        <w:spacing w:beforeAutospacing="0" w:afterAutospacing="0" w:line="240" w:lineRule="auto"/>
        <w:ind w:left="0" w:leftChars="0" w:right="0" w:rightChars="0" w:firstLine="640" w:firstLineChars="200"/>
        <w:contextualSpacing/>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开展金融机构绿色信贷业绩评价，不断扩展考核结果应用场景，</w:t>
      </w:r>
      <w:r>
        <w:rPr>
          <w:rFonts w:hint="eastAsia" w:ascii="仿宋_GB2312" w:hAnsi="仿宋_GB2312" w:eastAsia="仿宋_GB2312" w:cs="仿宋_GB2312"/>
          <w:color w:val="auto"/>
          <w:sz w:val="32"/>
          <w:szCs w:val="32"/>
          <w:highlight w:val="none"/>
          <w:lang w:eastAsia="zh-CN"/>
        </w:rPr>
        <w:t>落实</w:t>
      </w:r>
      <w:r>
        <w:rPr>
          <w:rFonts w:hint="eastAsia" w:ascii="仿宋_GB2312" w:hAnsi="仿宋_GB2312" w:eastAsia="仿宋_GB2312" w:cs="仿宋_GB2312"/>
          <w:color w:val="auto"/>
          <w:sz w:val="32"/>
          <w:szCs w:val="32"/>
          <w:highlight w:val="none"/>
        </w:rPr>
        <w:t>信贷资金使用情况和投向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努力提升绿色信贷占比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开辟绿色信贷研发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审批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推广专项通道，套绿色信贷专项规模。</w:t>
      </w:r>
    </w:p>
    <w:p>
      <w:pPr>
        <w:keepNext w:val="0"/>
        <w:keepLines w:val="0"/>
        <w:pageBreakBefore w:val="0"/>
        <w:widowControl/>
        <w:pBdr>
          <w:bottom w:val="single" w:color="FFFFFF" w:sz="4" w:space="26"/>
        </w:pBdr>
        <w:kinsoku/>
        <w:wordWrap/>
        <w:overflowPunct/>
        <w:topLinePunct w:val="0"/>
        <w:autoSpaceDE/>
        <w:autoSpaceDN w:val="0"/>
        <w:bidi w:val="0"/>
        <w:adjustRightInd w:val="0"/>
        <w:snapToGrid/>
        <w:spacing w:beforeAutospacing="0" w:afterAutospacing="0" w:line="240" w:lineRule="auto"/>
        <w:ind w:left="0" w:leftChars="0" w:right="0" w:rightChars="0" w:firstLine="640" w:firstLineChars="200"/>
        <w:contextualSpacing/>
        <w:textAlignment w:val="baseline"/>
        <w:rPr>
          <w:rFonts w:hint="eastAsia" w:ascii="黑体" w:hAnsi="宋体" w:eastAsia="黑体" w:cs="黑体"/>
          <w:color w:val="auto"/>
          <w:kern w:val="0"/>
          <w:sz w:val="32"/>
          <w:szCs w:val="32"/>
          <w:highlight w:val="none"/>
          <w:lang w:val="en-US" w:eastAsia="zh-CN" w:bidi="ar"/>
        </w:rPr>
      </w:pPr>
      <w:bookmarkStart w:id="25" w:name="_Toc30457_WPSOffice_Level1"/>
      <w:r>
        <w:rPr>
          <w:rFonts w:hint="eastAsia" w:ascii="黑体" w:hAnsi="宋体" w:eastAsia="黑体" w:cs="黑体"/>
          <w:color w:val="auto"/>
          <w:kern w:val="0"/>
          <w:sz w:val="32"/>
          <w:szCs w:val="32"/>
          <w:highlight w:val="none"/>
          <w:lang w:val="en-US" w:eastAsia="zh-CN" w:bidi="ar"/>
        </w:rPr>
        <w:t>三、环境相关治理结构</w:t>
      </w:r>
      <w:bookmarkEnd w:id="25"/>
    </w:p>
    <w:p>
      <w:pPr>
        <w:keepNext w:val="0"/>
        <w:keepLines w:val="0"/>
        <w:pageBreakBefore w:val="0"/>
        <w:widowControl/>
        <w:pBdr>
          <w:bottom w:val="single" w:color="FFFFFF" w:sz="4" w:space="26"/>
        </w:pBdr>
        <w:kinsoku/>
        <w:wordWrap/>
        <w:overflowPunct/>
        <w:topLinePunct w:val="0"/>
        <w:autoSpaceDE/>
        <w:autoSpaceDN w:val="0"/>
        <w:bidi w:val="0"/>
        <w:adjustRightInd w:val="0"/>
        <w:snapToGrid/>
        <w:spacing w:beforeAutospacing="0" w:afterAutospacing="0" w:line="240" w:lineRule="auto"/>
        <w:ind w:left="0" w:leftChars="0" w:right="0" w:rightChars="0" w:firstLine="620" w:firstLineChars="200"/>
        <w:contextualSpacing/>
        <w:textAlignment w:val="baseline"/>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建立理事会引领、联社党委领导、机关部门统筹、各网点落实的“四级联动”体系，共同推进绿色金融发展。</w:t>
      </w:r>
    </w:p>
    <w:p>
      <w:pPr>
        <w:keepNext w:val="0"/>
        <w:keepLines w:val="0"/>
        <w:pageBreakBefore w:val="0"/>
        <w:widowControl/>
        <w:pBdr>
          <w:bottom w:val="single" w:color="FFFFFF" w:sz="4" w:space="26"/>
        </w:pBdr>
        <w:kinsoku/>
        <w:wordWrap/>
        <w:overflowPunct/>
        <w:topLinePunct w:val="0"/>
        <w:autoSpaceDE/>
        <w:autoSpaceDN w:val="0"/>
        <w:bidi w:val="0"/>
        <w:adjustRightInd w:val="0"/>
        <w:snapToGrid/>
        <w:spacing w:beforeAutospacing="0" w:afterAutospacing="0" w:line="240" w:lineRule="auto"/>
        <w:ind w:left="0" w:leftChars="0" w:right="0" w:rightChars="0" w:firstLine="622" w:firstLineChars="200"/>
        <w:contextualSpacing/>
        <w:textAlignment w:val="baseline"/>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b/>
          <w:bCs/>
          <w:color w:val="auto"/>
          <w:kern w:val="0"/>
          <w:sz w:val="31"/>
          <w:szCs w:val="31"/>
          <w:highlight w:val="none"/>
          <w:lang w:val="en-US" w:eastAsia="zh-CN" w:bidi="ar"/>
        </w:rPr>
        <w:t>理事会引领：</w:t>
      </w:r>
      <w:r>
        <w:rPr>
          <w:rFonts w:hint="eastAsia" w:ascii="仿宋_GB2312" w:hAnsi="宋体" w:eastAsia="仿宋_GB2312" w:cs="仿宋_GB2312"/>
          <w:color w:val="auto"/>
          <w:kern w:val="0"/>
          <w:sz w:val="31"/>
          <w:szCs w:val="31"/>
          <w:highlight w:val="none"/>
          <w:lang w:val="en-US" w:eastAsia="zh-CN" w:bidi="ar"/>
        </w:rPr>
        <w:t>将绿色金融发展工作纳入理事会战略规划，抓好战略引领，统筹谋划，并将履行社会责任纳入理事会发展战略。</w:t>
      </w:r>
    </w:p>
    <w:p>
      <w:pPr>
        <w:keepNext w:val="0"/>
        <w:keepLines w:val="0"/>
        <w:pageBreakBefore w:val="0"/>
        <w:widowControl/>
        <w:pBdr>
          <w:bottom w:val="single" w:color="FFFFFF" w:sz="4" w:space="26"/>
        </w:pBdr>
        <w:kinsoku/>
        <w:wordWrap/>
        <w:overflowPunct/>
        <w:topLinePunct w:val="0"/>
        <w:autoSpaceDE/>
        <w:autoSpaceDN w:val="0"/>
        <w:bidi w:val="0"/>
        <w:adjustRightInd w:val="0"/>
        <w:snapToGrid/>
        <w:spacing w:beforeAutospacing="0" w:afterAutospacing="0" w:line="240" w:lineRule="auto"/>
        <w:ind w:left="0" w:leftChars="0" w:right="0" w:rightChars="0" w:firstLine="622" w:firstLineChars="200"/>
        <w:contextualSpacing/>
        <w:textAlignment w:val="baseline"/>
        <w:rPr>
          <w:rFonts w:hint="default"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b/>
          <w:bCs/>
          <w:color w:val="auto"/>
          <w:kern w:val="0"/>
          <w:sz w:val="31"/>
          <w:szCs w:val="31"/>
          <w:highlight w:val="none"/>
          <w:lang w:val="en-US" w:eastAsia="zh-CN" w:bidi="ar"/>
        </w:rPr>
        <w:t>联社党委领导：</w:t>
      </w:r>
      <w:r>
        <w:rPr>
          <w:rFonts w:hint="eastAsia" w:ascii="仿宋_GB2312" w:hAnsi="宋体" w:eastAsia="仿宋_GB2312" w:cs="仿宋_GB2312"/>
          <w:color w:val="auto"/>
          <w:kern w:val="0"/>
          <w:sz w:val="31"/>
          <w:szCs w:val="31"/>
          <w:highlight w:val="none"/>
          <w:lang w:val="zh-TW" w:eastAsia="zh-TW" w:bidi="ar"/>
        </w:rPr>
        <w:t>坚持党对绿色金融的统一领导，联社党委要将绿色金融服务纳入全面从严治党主体责任清单，把好方向和路径，从讲政治的高度推动本联社绿色金融高质量发展，确保各项工作落到实处。</w:t>
      </w:r>
    </w:p>
    <w:p>
      <w:pPr>
        <w:keepNext w:val="0"/>
        <w:keepLines w:val="0"/>
        <w:pageBreakBefore w:val="0"/>
        <w:widowControl/>
        <w:pBdr>
          <w:bottom w:val="single" w:color="FFFFFF" w:sz="4" w:space="26"/>
        </w:pBdr>
        <w:kinsoku/>
        <w:wordWrap/>
        <w:overflowPunct/>
        <w:topLinePunct w:val="0"/>
        <w:autoSpaceDE/>
        <w:autoSpaceDN w:val="0"/>
        <w:bidi w:val="0"/>
        <w:adjustRightInd w:val="0"/>
        <w:snapToGrid/>
        <w:spacing w:beforeAutospacing="0" w:afterAutospacing="0" w:line="240" w:lineRule="auto"/>
        <w:ind w:left="0" w:leftChars="0" w:right="0" w:rightChars="0" w:firstLine="622" w:firstLineChars="200"/>
        <w:contextualSpacing/>
        <w:textAlignment w:val="baseline"/>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b/>
          <w:bCs/>
          <w:color w:val="auto"/>
          <w:kern w:val="0"/>
          <w:sz w:val="31"/>
          <w:szCs w:val="31"/>
          <w:highlight w:val="none"/>
          <w:lang w:val="en-US" w:eastAsia="zh-CN" w:bidi="ar"/>
        </w:rPr>
        <w:t>机关部门统筹：</w:t>
      </w:r>
      <w:r>
        <w:rPr>
          <w:rFonts w:hint="eastAsia" w:ascii="仿宋_GB2312" w:hAnsi="宋体" w:eastAsia="仿宋_GB2312" w:cs="仿宋_GB2312"/>
          <w:color w:val="auto"/>
          <w:kern w:val="0"/>
          <w:sz w:val="31"/>
          <w:szCs w:val="31"/>
          <w:highlight w:val="none"/>
          <w:lang w:val="en-US" w:eastAsia="zh-CN" w:bidi="ar"/>
        </w:rPr>
        <w:t>绿色金融工作由普惠金融部负责，负责指导、推动、实施绿色金融工作，并定期跟踪监测、通报各项工作进度，确保各项工作落实到位，优化绿色信贷业务流程和制度体系建设，研究和创新绿色金融产品和服务。</w:t>
      </w:r>
    </w:p>
    <w:p>
      <w:pPr>
        <w:keepNext w:val="0"/>
        <w:keepLines w:val="0"/>
        <w:pageBreakBefore w:val="0"/>
        <w:widowControl/>
        <w:pBdr>
          <w:bottom w:val="single" w:color="FFFFFF" w:sz="4" w:space="26"/>
        </w:pBdr>
        <w:kinsoku/>
        <w:wordWrap/>
        <w:overflowPunct/>
        <w:topLinePunct w:val="0"/>
        <w:autoSpaceDE/>
        <w:autoSpaceDN w:val="0"/>
        <w:bidi w:val="0"/>
        <w:adjustRightInd w:val="0"/>
        <w:snapToGrid/>
        <w:spacing w:beforeAutospacing="0" w:afterAutospacing="0" w:line="240" w:lineRule="auto"/>
        <w:ind w:left="0" w:leftChars="0" w:right="0" w:rightChars="0" w:firstLine="622" w:firstLineChars="200"/>
        <w:contextualSpacing/>
        <w:textAlignment w:val="baseline"/>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b/>
          <w:bCs/>
          <w:color w:val="auto"/>
          <w:kern w:val="0"/>
          <w:sz w:val="31"/>
          <w:szCs w:val="31"/>
          <w:highlight w:val="none"/>
          <w:lang w:val="en-US" w:eastAsia="zh-CN" w:bidi="ar"/>
        </w:rPr>
        <w:t>各网点落实：</w:t>
      </w:r>
      <w:r>
        <w:rPr>
          <w:rFonts w:hint="eastAsia" w:ascii="仿宋_GB2312" w:hAnsi="宋体" w:eastAsia="仿宋_GB2312" w:cs="仿宋_GB2312"/>
          <w:color w:val="auto"/>
          <w:kern w:val="0"/>
          <w:sz w:val="31"/>
          <w:szCs w:val="31"/>
          <w:highlight w:val="none"/>
          <w:lang w:val="en-US" w:eastAsia="zh-CN" w:bidi="ar"/>
        </w:rPr>
        <w:t>为绿色金融需求提供“三优”服务，开辟绿色金融快速通道，负责落实绿色金融制度，服务绿色金融客户，完成绿色信贷投放。</w:t>
      </w:r>
    </w:p>
    <w:p>
      <w:pPr>
        <w:keepNext w:val="0"/>
        <w:keepLines w:val="0"/>
        <w:pageBreakBefore w:val="0"/>
        <w:widowControl/>
        <w:numPr>
          <w:ilvl w:val="0"/>
          <w:numId w:val="1"/>
        </w:numPr>
        <w:pBdr>
          <w:bottom w:val="single" w:color="FFFFFF" w:sz="4" w:space="26"/>
        </w:pBdr>
        <w:kinsoku/>
        <w:wordWrap/>
        <w:overflowPunct/>
        <w:topLinePunct w:val="0"/>
        <w:autoSpaceDE/>
        <w:autoSpaceDN w:val="0"/>
        <w:bidi w:val="0"/>
        <w:adjustRightInd w:val="0"/>
        <w:snapToGrid/>
        <w:spacing w:beforeAutospacing="0" w:afterAutospacing="0" w:line="240" w:lineRule="auto"/>
        <w:ind w:left="0" w:leftChars="0" w:right="0" w:rightChars="0" w:firstLine="640" w:firstLineChars="200"/>
        <w:contextualSpacing/>
        <w:textAlignment w:val="baseline"/>
        <w:rPr>
          <w:rFonts w:hint="eastAsia" w:ascii="黑体" w:hAnsi="宋体" w:eastAsia="黑体" w:cs="黑体"/>
          <w:color w:val="auto"/>
          <w:kern w:val="0"/>
          <w:sz w:val="32"/>
          <w:szCs w:val="32"/>
          <w:highlight w:val="none"/>
          <w:lang w:val="en-US" w:eastAsia="zh-CN" w:bidi="ar"/>
        </w:rPr>
      </w:pPr>
      <w:bookmarkStart w:id="26" w:name="_Toc22572_WPSOffice_Level1"/>
      <w:r>
        <w:rPr>
          <w:rFonts w:hint="eastAsia" w:ascii="黑体" w:hAnsi="宋体" w:eastAsia="黑体" w:cs="黑体"/>
          <w:color w:val="auto"/>
          <w:kern w:val="0"/>
          <w:sz w:val="32"/>
          <w:szCs w:val="32"/>
          <w:highlight w:val="none"/>
          <w:lang w:val="en-US" w:eastAsia="zh-CN" w:bidi="ar"/>
        </w:rPr>
        <w:t>环境相关政策制度</w:t>
      </w:r>
      <w:bookmarkEnd w:id="26"/>
    </w:p>
    <w:p>
      <w:pPr>
        <w:keepNext w:val="0"/>
        <w:keepLines w:val="0"/>
        <w:pageBreakBefore w:val="0"/>
        <w:widowControl/>
        <w:numPr>
          <w:ilvl w:val="0"/>
          <w:numId w:val="0"/>
        </w:numPr>
        <w:pBdr>
          <w:bottom w:val="single" w:color="FFFFFF" w:sz="4" w:space="26"/>
        </w:pBdr>
        <w:kinsoku/>
        <w:wordWrap/>
        <w:overflowPunct/>
        <w:topLinePunct w:val="0"/>
        <w:autoSpaceDE/>
        <w:autoSpaceDN w:val="0"/>
        <w:bidi w:val="0"/>
        <w:adjustRightInd w:val="0"/>
        <w:snapToGrid/>
        <w:spacing w:beforeAutospacing="0" w:afterAutospacing="0" w:line="240" w:lineRule="auto"/>
        <w:ind w:right="0" w:rightChars="0" w:firstLine="620" w:firstLineChars="200"/>
        <w:contextualSpacing/>
        <w:textAlignment w:val="baseline"/>
        <w:rPr>
          <w:rFonts w:hint="eastAsia" w:ascii="黑体" w:hAnsi="黑体" w:eastAsia="黑体"/>
          <w:color w:val="auto"/>
          <w:sz w:val="28"/>
          <w:szCs w:val="24"/>
          <w:highlight w:val="none"/>
          <w:lang w:val="en-US" w:eastAsia="zh-CN"/>
        </w:rPr>
      </w:pPr>
      <w:r>
        <w:rPr>
          <w:rFonts w:hint="eastAsia" w:ascii="仿宋_GB2312" w:hAnsi="宋体" w:eastAsia="仿宋_GB2312" w:cs="仿宋_GB2312"/>
          <w:color w:val="auto"/>
          <w:kern w:val="0"/>
          <w:sz w:val="31"/>
          <w:szCs w:val="31"/>
          <w:highlight w:val="none"/>
          <w:lang w:val="en-US" w:eastAsia="zh-CN" w:bidi="ar"/>
        </w:rPr>
        <w:t>本社认真贯彻人民银行等7部委《关于构建绿色金融体系的指导意见》（银发〔2016〕228号）、《金融机构环境信息披露指南》、《中国人民银行福建省分行关于推进福建省金融机构环境信息披露工作的通知》（闽银〔2023〕44号）、《宁德银保监分局办公室关于转发2023年普惠和绿色金融试点创新经验复制推广工作方案的通知》（宁银保监办发〔2023〕35号）及省联社有关文件精神，制定</w:t>
      </w:r>
      <w:r>
        <w:rPr>
          <w:rFonts w:hint="eastAsia" w:ascii="仿宋_GB2312" w:hAnsi="仿宋_GB2312" w:eastAsia="仿宋_GB2312" w:cs="仿宋_GB2312"/>
          <w:color w:val="auto"/>
          <w:kern w:val="2"/>
          <w:sz w:val="32"/>
          <w:szCs w:val="32"/>
          <w:highlight w:val="none"/>
          <w:lang w:val="en-US" w:eastAsia="zh-CN" w:bidi="ar-SA"/>
        </w:rPr>
        <w:t>《周宁县农村信用合作联社“十四五”期间推进绿色金融发展的工作方案》</w:t>
      </w:r>
      <w:r>
        <w:rPr>
          <w:rFonts w:hint="eastAsia" w:ascii="仿宋_GB2312" w:hAnsi="宋体" w:eastAsia="仿宋_GB2312" w:cs="仿宋_GB2312"/>
          <w:color w:val="auto"/>
          <w:kern w:val="0"/>
          <w:sz w:val="31"/>
          <w:szCs w:val="31"/>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SA"/>
        </w:rPr>
        <w:t>实现“四个不低于”目标，把</w:t>
      </w:r>
      <w:r>
        <w:rPr>
          <w:rFonts w:hint="eastAsia" w:ascii="仿宋_GB2312" w:hAnsi="宋体" w:eastAsia="仿宋_GB2312" w:cs="仿宋_GB2312"/>
          <w:color w:val="auto"/>
          <w:kern w:val="0"/>
          <w:sz w:val="31"/>
          <w:szCs w:val="31"/>
          <w:highlight w:val="none"/>
          <w:lang w:val="en-US" w:eastAsia="zh-CN" w:bidi="ar"/>
        </w:rPr>
        <w:t>绿色信贷业务、绿色办公、绿色运营、绿色考核评价等融入业务发展。</w:t>
      </w:r>
      <w:bookmarkStart w:id="27" w:name="_Toc12076_WPSOffice_Level1"/>
    </w:p>
    <w:p>
      <w:pPr>
        <w:keepNext w:val="0"/>
        <w:keepLines w:val="0"/>
        <w:pageBreakBefore w:val="0"/>
        <w:widowControl/>
        <w:numPr>
          <w:ilvl w:val="0"/>
          <w:numId w:val="1"/>
        </w:numPr>
        <w:pBdr>
          <w:bottom w:val="single" w:color="FFFFFF" w:sz="4" w:space="26"/>
        </w:pBdr>
        <w:kinsoku/>
        <w:wordWrap/>
        <w:overflowPunct/>
        <w:topLinePunct w:val="0"/>
        <w:autoSpaceDE/>
        <w:autoSpaceDN w:val="0"/>
        <w:bidi w:val="0"/>
        <w:adjustRightInd w:val="0"/>
        <w:snapToGrid/>
        <w:spacing w:beforeAutospacing="0" w:afterAutospacing="0" w:line="240" w:lineRule="auto"/>
        <w:ind w:left="0" w:leftChars="0" w:right="0" w:rightChars="0" w:firstLine="640" w:firstLineChars="200"/>
        <w:contextualSpacing/>
        <w:textAlignment w:val="baseline"/>
        <w:rPr>
          <w:rFonts w:hint="eastAsia"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环境相关产品与服务创新</w:t>
      </w:r>
      <w:bookmarkEnd w:id="27"/>
      <w:bookmarkStart w:id="28" w:name="_Toc9429_WPSOffice_Level1"/>
    </w:p>
    <w:p>
      <w:pPr>
        <w:keepNext w:val="0"/>
        <w:keepLines w:val="0"/>
        <w:pageBreakBefore w:val="0"/>
        <w:widowControl/>
        <w:numPr>
          <w:ilvl w:val="0"/>
          <w:numId w:val="2"/>
        </w:numPr>
        <w:pBdr>
          <w:bottom w:val="single" w:color="FFFFFF" w:sz="4" w:space="26"/>
        </w:pBdr>
        <w:kinsoku/>
        <w:wordWrap/>
        <w:overflowPunct/>
        <w:topLinePunct w:val="0"/>
        <w:autoSpaceDE/>
        <w:autoSpaceDN w:val="0"/>
        <w:bidi w:val="0"/>
        <w:adjustRightInd w:val="0"/>
        <w:snapToGrid/>
        <w:spacing w:beforeAutospacing="0" w:afterAutospacing="0" w:line="240" w:lineRule="auto"/>
        <w:ind w:right="0" w:rightChars="0" w:firstLine="640" w:firstLineChars="200"/>
        <w:contextualSpacing/>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健全绿色金融服务机制。</w:t>
      </w:r>
      <w:r>
        <w:rPr>
          <w:rFonts w:hint="eastAsia" w:ascii="仿宋_GB2312" w:hAnsi="仿宋_GB2312" w:eastAsia="仿宋_GB2312" w:cs="仿宋_GB2312"/>
          <w:color w:val="auto"/>
          <w:kern w:val="2"/>
          <w:sz w:val="32"/>
          <w:szCs w:val="32"/>
          <w:highlight w:val="none"/>
          <w:lang w:val="en-US" w:eastAsia="zh-CN" w:bidi="ar-SA"/>
        </w:rPr>
        <w:t>积极对接新开工重点绿色项目，提高融资对接率，增强绿色金融普惠性。</w:t>
      </w:r>
    </w:p>
    <w:p>
      <w:pPr>
        <w:keepNext w:val="0"/>
        <w:keepLines w:val="0"/>
        <w:pageBreakBefore w:val="0"/>
        <w:widowControl/>
        <w:numPr>
          <w:ilvl w:val="0"/>
          <w:numId w:val="2"/>
        </w:numPr>
        <w:pBdr>
          <w:bottom w:val="single" w:color="FFFFFF" w:sz="4" w:space="26"/>
        </w:pBdr>
        <w:kinsoku/>
        <w:wordWrap/>
        <w:overflowPunct/>
        <w:topLinePunct w:val="0"/>
        <w:autoSpaceDE/>
        <w:autoSpaceDN w:val="0"/>
        <w:bidi w:val="0"/>
        <w:adjustRightInd w:val="0"/>
        <w:snapToGrid/>
        <w:spacing w:beforeAutospacing="0" w:afterAutospacing="0" w:line="240" w:lineRule="auto"/>
        <w:ind w:left="0" w:leftChars="0" w:right="0" w:rightChars="0" w:firstLine="640" w:firstLineChars="200"/>
        <w:contextualSpacing/>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完善绿色金融经营绩效考核体系。</w:t>
      </w:r>
      <w:r>
        <w:rPr>
          <w:rFonts w:hint="eastAsia" w:ascii="仿宋_GB2312" w:hAnsi="仿宋_GB2312" w:eastAsia="仿宋_GB2312" w:cs="仿宋_GB2312"/>
          <w:color w:val="auto"/>
          <w:kern w:val="2"/>
          <w:sz w:val="32"/>
          <w:szCs w:val="32"/>
          <w:highlight w:val="none"/>
          <w:lang w:val="en-US" w:eastAsia="zh-CN" w:bidi="ar-SA"/>
        </w:rPr>
        <w:t>将绿色信贷考核指标完成情况作为扣分项纳入年度经营管理绩效考核。优先安排绿色金融信贷规模，实现对绿色金融优先服务、优惠利率、优享产品的“三优”服务，并将绿色信贷执行情况纳入内控合规检查范围。</w:t>
      </w:r>
    </w:p>
    <w:p>
      <w:pPr>
        <w:keepNext w:val="0"/>
        <w:keepLines w:val="0"/>
        <w:pageBreakBefore w:val="0"/>
        <w:widowControl/>
        <w:numPr>
          <w:ilvl w:val="0"/>
          <w:numId w:val="3"/>
        </w:numPr>
        <w:pBdr>
          <w:bottom w:val="single" w:color="FFFFFF" w:sz="4" w:space="26"/>
        </w:pBdr>
        <w:kinsoku/>
        <w:wordWrap/>
        <w:overflowPunct/>
        <w:topLinePunct w:val="0"/>
        <w:autoSpaceDE/>
        <w:autoSpaceDN w:val="0"/>
        <w:bidi w:val="0"/>
        <w:adjustRightInd w:val="0"/>
        <w:snapToGrid/>
        <w:spacing w:beforeAutospacing="0" w:afterAutospacing="0" w:line="240" w:lineRule="auto"/>
        <w:ind w:right="0" w:rightChars="0" w:firstLine="640" w:firstLineChars="200"/>
        <w:contextualSpacing/>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深化绿色金融产品及服务。</w:t>
      </w:r>
      <w:r>
        <w:rPr>
          <w:rFonts w:hint="eastAsia" w:ascii="仿宋_GB2312" w:hAnsi="仿宋_GB2312" w:eastAsia="仿宋_GB2312" w:cs="仿宋_GB2312"/>
          <w:color w:val="auto"/>
          <w:kern w:val="2"/>
          <w:sz w:val="32"/>
          <w:szCs w:val="32"/>
          <w:highlight w:val="none"/>
          <w:lang w:val="en-US" w:eastAsia="zh-CN" w:bidi="ar-SA"/>
        </w:rPr>
        <w:t>抓住农村集体产权制度改革红利，依托福农综合服务平台，推出“福股贷”，盘活农村沉睡资产，支持美丽乡村建设。加强与林业有关部门协调沟通，建立林农林业资产清单，实施精准营销，扩大“碳汇贷”“林e贷”信贷规模。助推城乡垃圾分类长效开展，推进生活垃圾分类和减量化、资源化，整治环境脏乱差，打造宜居生活环境。</w:t>
      </w:r>
    </w:p>
    <w:p>
      <w:pPr>
        <w:keepNext w:val="0"/>
        <w:keepLines w:val="0"/>
        <w:pageBreakBefore w:val="0"/>
        <w:widowControl/>
        <w:numPr>
          <w:ilvl w:val="0"/>
          <w:numId w:val="1"/>
        </w:numPr>
        <w:pBdr>
          <w:bottom w:val="single" w:color="FFFFFF" w:sz="4" w:space="26"/>
        </w:pBdr>
        <w:kinsoku/>
        <w:wordWrap/>
        <w:overflowPunct/>
        <w:topLinePunct w:val="0"/>
        <w:autoSpaceDE/>
        <w:autoSpaceDN w:val="0"/>
        <w:bidi w:val="0"/>
        <w:adjustRightInd w:val="0"/>
        <w:snapToGrid/>
        <w:spacing w:beforeAutospacing="0" w:afterAutospacing="0" w:line="240" w:lineRule="auto"/>
        <w:ind w:left="0" w:leftChars="0" w:right="0" w:rightChars="0" w:firstLine="640" w:firstLineChars="200"/>
        <w:contextualSpacing/>
        <w:textAlignment w:val="baseline"/>
        <w:rPr>
          <w:rFonts w:hint="eastAsia"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环境风险控制流程</w:t>
      </w:r>
      <w:bookmarkEnd w:id="28"/>
    </w:p>
    <w:p>
      <w:pPr>
        <w:keepNext w:val="0"/>
        <w:keepLines w:val="0"/>
        <w:pageBreakBefore w:val="0"/>
        <w:widowControl/>
        <w:numPr>
          <w:ilvl w:val="0"/>
          <w:numId w:val="0"/>
        </w:numPr>
        <w:pBdr>
          <w:bottom w:val="single" w:color="FFFFFF" w:sz="4" w:space="26"/>
        </w:pBdr>
        <w:kinsoku/>
        <w:wordWrap/>
        <w:overflowPunct/>
        <w:topLinePunct w:val="0"/>
        <w:autoSpaceDE/>
        <w:autoSpaceDN w:val="0"/>
        <w:bidi w:val="0"/>
        <w:adjustRightInd w:val="0"/>
        <w:snapToGrid/>
        <w:spacing w:beforeAutospacing="0" w:afterAutospacing="0" w:line="240" w:lineRule="auto"/>
        <w:ind w:right="0" w:rightChars="0" w:firstLine="640" w:firstLineChars="200"/>
        <w:contextualSpacing/>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树牢绿色发展理念，制定绿色金融发展战略规划，与实现“双碳”目标相适应，不断强化治理机制，积极完善绿色金融业务相关制度，打造“绿色信贷全流程管理”，将环境和社会风险因素纳入各环节管理要点。一是贷前环节，调查客户生产及项目产生的耗能、污染、安全隐患及对环境和社会的影响；二是贷中环节，将客户环保合法性手续作为审查审批的必要条件，对环境和社会表现不合规、违法违规、污染严重、社会影响负面的客户不予审批；三是贷后环节，将环境风险的管理要求作为放款条件，将企业环境和社会风险列入日常贷后检查内容，加强对企业环境风险的舆情监测，对潜在重大环境和社会风险的客户采取针对性贷后管理措施。</w:t>
      </w:r>
    </w:p>
    <w:p>
      <w:pPr>
        <w:keepNext w:val="0"/>
        <w:keepLines w:val="0"/>
        <w:pageBreakBefore w:val="0"/>
        <w:widowControl/>
        <w:numPr>
          <w:ilvl w:val="0"/>
          <w:numId w:val="0"/>
        </w:numPr>
        <w:pBdr>
          <w:bottom w:val="single" w:color="FFFFFF" w:sz="4" w:space="26"/>
        </w:pBdr>
        <w:kinsoku/>
        <w:wordWrap/>
        <w:overflowPunct/>
        <w:topLinePunct w:val="0"/>
        <w:autoSpaceDE/>
        <w:autoSpaceDN w:val="0"/>
        <w:bidi w:val="0"/>
        <w:adjustRightInd w:val="0"/>
        <w:snapToGrid/>
        <w:spacing w:beforeAutospacing="0" w:afterAutospacing="0" w:line="240" w:lineRule="auto"/>
        <w:ind w:right="0" w:rightChars="0" w:firstLine="640" w:firstLineChars="200"/>
        <w:contextualSpacing/>
        <w:textAlignment w:val="baseline"/>
        <w:rPr>
          <w:rFonts w:hint="eastAsia" w:ascii="黑体" w:hAnsi="宋体" w:eastAsia="黑体" w:cs="黑体"/>
          <w:color w:val="000000" w:themeColor="text1"/>
          <w:kern w:val="0"/>
          <w:sz w:val="32"/>
          <w:szCs w:val="32"/>
          <w:highlight w:val="none"/>
          <w:lang w:val="en-US" w:eastAsia="zh-CN" w:bidi="ar"/>
          <w14:textFill>
            <w14:solidFill>
              <w14:schemeClr w14:val="tx1"/>
            </w14:solidFill>
          </w14:textFill>
        </w:rPr>
      </w:pPr>
      <w:r>
        <w:rPr>
          <w:rFonts w:hint="eastAsia" w:ascii="黑体" w:hAnsi="宋体" w:eastAsia="黑体" w:cs="黑体"/>
          <w:color w:val="000000" w:themeColor="text1"/>
          <w:kern w:val="0"/>
          <w:sz w:val="32"/>
          <w:szCs w:val="32"/>
          <w:highlight w:val="none"/>
          <w:lang w:val="en-US" w:eastAsia="zh-CN" w:bidi="ar"/>
          <w14:textFill>
            <w14:solidFill>
              <w14:schemeClr w14:val="tx1"/>
            </w14:solidFill>
          </w14:textFill>
        </w:rPr>
        <w:t>七、经营活动的环境影响及减排措施</w:t>
      </w:r>
      <w:bookmarkEnd w:id="15"/>
    </w:p>
    <w:p>
      <w:pPr>
        <w:pStyle w:val="9"/>
        <w:keepNext w:val="0"/>
        <w:keepLines w:val="0"/>
        <w:pageBreakBefore w:val="0"/>
        <w:widowControl w:val="0"/>
        <w:kinsoku/>
        <w:wordWrap/>
        <w:overflowPunct/>
        <w:topLinePunct w:val="0"/>
        <w:autoSpaceDE/>
        <w:autoSpaceDN/>
        <w:bidi w:val="0"/>
        <w:adjustRightInd/>
        <w:snapToGrid/>
        <w:spacing w:after="0" w:line="520" w:lineRule="exact"/>
        <w:textAlignment w:val="baseline"/>
        <w:rPr>
          <w:rFonts w:hint="eastAsia" w:ascii="仿宋_GB2312" w:hAnsi="仿宋_GB2312" w:eastAsia="仿宋_GB2312" w:cs="仿宋_GB2312"/>
          <w:snapToGrid/>
          <w:color w:val="auto"/>
          <w:kern w:val="2"/>
          <w:sz w:val="32"/>
          <w:szCs w:val="32"/>
          <w:highlight w:val="none"/>
          <w:lang w:val="en-US" w:eastAsia="zh-CN" w:bidi="ar-SA"/>
        </w:rPr>
      </w:pPr>
      <w:bookmarkStart w:id="29" w:name="_Toc31784_WPSOffice_Level2"/>
      <w:r>
        <w:rPr>
          <w:rFonts w:hint="eastAsia" w:ascii="仿宋_GB2312" w:hAnsi="仿宋_GB2312" w:eastAsia="仿宋_GB2312" w:cs="仿宋_GB2312"/>
          <w:snapToGrid/>
          <w:color w:val="auto"/>
          <w:kern w:val="2"/>
          <w:sz w:val="32"/>
          <w:szCs w:val="32"/>
          <w:highlight w:val="none"/>
          <w:lang w:val="en-US" w:eastAsia="zh-CN" w:bidi="ar-SA"/>
        </w:rPr>
        <w:t>（一）经营环境影响</w:t>
      </w:r>
      <w:bookmarkEnd w:id="29"/>
    </w:p>
    <w:p>
      <w:pPr>
        <w:rPr>
          <w:rFonts w:hint="eastAsia"/>
          <w:highlight w:val="none"/>
          <w:lang w:val="en-US" w:eastAsia="zh-CN"/>
        </w:rPr>
      </w:pPr>
    </w:p>
    <w:p>
      <w:pPr>
        <w:spacing w:beforeLines="0" w:afterLines="0"/>
        <w:ind w:firstLine="640" w:firstLineChars="200"/>
        <w:jc w:val="left"/>
        <w:rPr>
          <w:rFonts w:hint="eastAsia" w:ascii="FangSong_GB2312" w:hAnsi="FangSong_GB2312" w:eastAsia="FangSong_GB2312"/>
          <w:sz w:val="32"/>
          <w:szCs w:val="24"/>
          <w:highlight w:val="none"/>
        </w:rPr>
      </w:pPr>
      <w:bookmarkStart w:id="30" w:name="_Toc27340_WPSOffice_Level2"/>
      <w:r>
        <w:rPr>
          <w:rFonts w:hint="eastAsia" w:ascii="FangSong_GB2312" w:hAnsi="FangSong_GB2312" w:eastAsia="FangSong_GB2312"/>
          <w:sz w:val="32"/>
          <w:szCs w:val="24"/>
          <w:highlight w:val="none"/>
        </w:rPr>
        <w:t>报告期内，本</w:t>
      </w:r>
      <w:r>
        <w:rPr>
          <w:rFonts w:hint="eastAsia" w:ascii="FangSong_GB2312" w:hAnsi="FangSong_GB2312" w:eastAsia="FangSong_GB2312"/>
          <w:sz w:val="32"/>
          <w:szCs w:val="24"/>
          <w:highlight w:val="none"/>
          <w:lang w:val="en-US" w:eastAsia="zh-CN"/>
        </w:rPr>
        <w:t>社</w:t>
      </w:r>
      <w:r>
        <w:rPr>
          <w:rFonts w:hint="eastAsia" w:ascii="FangSong_GB2312" w:hAnsi="FangSong_GB2312" w:eastAsia="FangSong_GB2312"/>
          <w:sz w:val="32"/>
          <w:szCs w:val="24"/>
          <w:highlight w:val="none"/>
        </w:rPr>
        <w:t>总部及各营业网点经营活动产生的资源</w:t>
      </w:r>
    </w:p>
    <w:p>
      <w:pPr>
        <w:spacing w:beforeLines="0" w:afterLines="0"/>
        <w:jc w:val="left"/>
        <w:rPr>
          <w:rFonts w:hint="eastAsia" w:ascii="FangSong_GB2312" w:hAnsi="FangSong_GB2312" w:eastAsia="FangSong_GB2312"/>
          <w:sz w:val="32"/>
          <w:szCs w:val="24"/>
          <w:highlight w:val="none"/>
        </w:rPr>
      </w:pPr>
      <w:r>
        <w:rPr>
          <w:rFonts w:hint="eastAsia" w:ascii="FangSong_GB2312" w:hAnsi="FangSong_GB2312" w:eastAsia="FangSong_GB2312"/>
          <w:sz w:val="32"/>
          <w:szCs w:val="24"/>
          <w:highlight w:val="none"/>
        </w:rPr>
        <w:t>消耗主要集中在自有车辆消耗、营业办公用电、用水、纸张</w:t>
      </w:r>
    </w:p>
    <w:p>
      <w:pPr>
        <w:pStyle w:val="9"/>
        <w:keepNext w:val="0"/>
        <w:keepLines w:val="0"/>
        <w:pageBreakBefore w:val="0"/>
        <w:widowControl w:val="0"/>
        <w:kinsoku/>
        <w:wordWrap/>
        <w:overflowPunct/>
        <w:topLinePunct w:val="0"/>
        <w:autoSpaceDE/>
        <w:autoSpaceDN/>
        <w:bidi w:val="0"/>
        <w:adjustRightInd/>
        <w:snapToGrid/>
        <w:ind w:left="0" w:leftChars="0" w:firstLine="0" w:firstLineChars="0"/>
        <w:textAlignment w:val="baseline"/>
        <w:rPr>
          <w:rFonts w:hint="eastAsia" w:ascii="FangSong_GB2312" w:hAnsi="FangSong_GB2312" w:eastAsia="FangSong_GB2312"/>
          <w:sz w:val="32"/>
          <w:szCs w:val="24"/>
          <w:highlight w:val="none"/>
        </w:rPr>
      </w:pPr>
      <w:r>
        <w:rPr>
          <w:rFonts w:hint="eastAsia" w:ascii="FangSong_GB2312" w:hAnsi="FangSong_GB2312" w:eastAsia="FangSong_GB2312"/>
          <w:sz w:val="32"/>
          <w:szCs w:val="24"/>
          <w:highlight w:val="none"/>
        </w:rPr>
        <w:t>耗材等。</w:t>
      </w:r>
    </w:p>
    <w:p>
      <w:pPr>
        <w:pStyle w:val="9"/>
        <w:keepNext w:val="0"/>
        <w:keepLines w:val="0"/>
        <w:pageBreakBefore w:val="0"/>
        <w:widowControl w:val="0"/>
        <w:kinsoku/>
        <w:wordWrap/>
        <w:overflowPunct/>
        <w:topLinePunct w:val="0"/>
        <w:autoSpaceDE/>
        <w:autoSpaceDN/>
        <w:bidi w:val="0"/>
        <w:adjustRightInd/>
        <w:snapToGrid/>
        <w:textAlignment w:val="baseline"/>
        <w:rPr>
          <w:rFonts w:hint="eastAsia" w:ascii="仿宋_GB2312" w:hAnsi="仿宋_GB2312" w:eastAsia="仿宋_GB2312" w:cs="仿宋_GB2312"/>
          <w:b/>
          <w:bCs/>
          <w:snapToGrid/>
          <w:color w:val="auto"/>
          <w:kern w:val="2"/>
          <w:sz w:val="32"/>
          <w:szCs w:val="32"/>
          <w:highlight w:val="none"/>
          <w:lang w:val="en-US" w:eastAsia="zh-CN" w:bidi="ar-SA"/>
        </w:rPr>
      </w:pPr>
      <w:r>
        <w:rPr>
          <w:rFonts w:hint="eastAsia" w:ascii="仿宋_GB2312" w:hAnsi="仿宋_GB2312" w:eastAsia="仿宋_GB2312" w:cs="仿宋_GB2312"/>
          <w:b/>
          <w:bCs/>
          <w:snapToGrid/>
          <w:color w:val="auto"/>
          <w:kern w:val="2"/>
          <w:sz w:val="32"/>
          <w:szCs w:val="32"/>
          <w:highlight w:val="none"/>
          <w:lang w:val="en-US" w:eastAsia="zh-CN" w:bidi="ar-SA"/>
        </w:rPr>
        <w:t>【经营活动碳排放与资源消耗情况】</w:t>
      </w:r>
      <w:bookmarkEnd w:id="30"/>
    </w:p>
    <w:tbl>
      <w:tblPr>
        <w:tblStyle w:val="6"/>
        <w:tblpPr w:leftFromText="180" w:rightFromText="180" w:vertAnchor="text" w:horzAnchor="page" w:tblpX="2253" w:tblpY="294"/>
        <w:tblOverlap w:val="never"/>
        <w:tblW w:w="8408" w:type="dxa"/>
        <w:tblInd w:w="0" w:type="dxa"/>
        <w:shd w:val="clear" w:color="auto" w:fill="auto"/>
        <w:tblLayout w:type="fixed"/>
        <w:tblCellMar>
          <w:top w:w="0" w:type="dxa"/>
          <w:left w:w="0" w:type="dxa"/>
          <w:bottom w:w="0" w:type="dxa"/>
          <w:right w:w="0" w:type="dxa"/>
        </w:tblCellMar>
      </w:tblPr>
      <w:tblGrid>
        <w:gridCol w:w="1453"/>
        <w:gridCol w:w="2857"/>
        <w:gridCol w:w="976"/>
        <w:gridCol w:w="1509"/>
        <w:gridCol w:w="1613"/>
      </w:tblGrid>
      <w:tr>
        <w:tblPrEx>
          <w:shd w:val="clear" w:color="auto" w:fill="auto"/>
          <w:tblCellMar>
            <w:top w:w="0" w:type="dxa"/>
            <w:left w:w="0" w:type="dxa"/>
            <w:bottom w:w="0" w:type="dxa"/>
            <w:right w:w="0" w:type="dxa"/>
          </w:tblCellMar>
        </w:tblPrEx>
        <w:trPr>
          <w:trHeight w:val="780" w:hRule="atLeast"/>
        </w:trPr>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报告年度内经营活动产生的资源消耗披露细项单位总量产生碳排放量（吨）</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披露细项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总量</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产生碳排放量（吨）</w:t>
            </w:r>
          </w:p>
        </w:tc>
      </w:tr>
      <w:tr>
        <w:tblPrEx>
          <w:shd w:val="clear" w:color="auto" w:fill="auto"/>
          <w:tblCellMar>
            <w:top w:w="0" w:type="dxa"/>
            <w:left w:w="0" w:type="dxa"/>
            <w:bottom w:w="0" w:type="dxa"/>
            <w:right w:w="0" w:type="dxa"/>
          </w:tblCellMar>
        </w:tblPrEx>
        <w:trPr>
          <w:trHeight w:val="780"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自由交通运输工具使用</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千米</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31400</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10.048</w:t>
            </w:r>
          </w:p>
        </w:tc>
      </w:tr>
      <w:tr>
        <w:tblPrEx>
          <w:shd w:val="clear" w:color="auto" w:fill="auto"/>
          <w:tblCellMar>
            <w:top w:w="0" w:type="dxa"/>
            <w:left w:w="0" w:type="dxa"/>
            <w:bottom w:w="0" w:type="dxa"/>
            <w:right w:w="0" w:type="dxa"/>
          </w:tblCellMar>
        </w:tblPrEx>
        <w:trPr>
          <w:trHeight w:val="780"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营业办公活动消耗的水</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吨</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10838.3</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9.863</w:t>
            </w:r>
          </w:p>
        </w:tc>
      </w:tr>
      <w:tr>
        <w:tblPrEx>
          <w:shd w:val="clear" w:color="auto" w:fill="auto"/>
          <w:tblCellMar>
            <w:top w:w="0" w:type="dxa"/>
            <w:left w:w="0" w:type="dxa"/>
            <w:bottom w:w="0" w:type="dxa"/>
            <w:right w:w="0" w:type="dxa"/>
          </w:tblCellMar>
        </w:tblPrEx>
        <w:trPr>
          <w:trHeight w:val="780"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直接碳排放合计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吨</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19.911</w:t>
            </w:r>
          </w:p>
        </w:tc>
      </w:tr>
      <w:tr>
        <w:tblPrEx>
          <w:shd w:val="clear" w:color="auto" w:fill="auto"/>
          <w:tblCellMar>
            <w:top w:w="0" w:type="dxa"/>
            <w:left w:w="0" w:type="dxa"/>
            <w:bottom w:w="0" w:type="dxa"/>
            <w:right w:w="0" w:type="dxa"/>
          </w:tblCellMar>
        </w:tblPrEx>
        <w:trPr>
          <w:trHeight w:val="780"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营业办公活动消耗的电</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兆瓦时</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362</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191.86</w:t>
            </w:r>
          </w:p>
        </w:tc>
      </w:tr>
      <w:tr>
        <w:tblPrEx>
          <w:tblCellMar>
            <w:top w:w="0" w:type="dxa"/>
            <w:left w:w="0" w:type="dxa"/>
            <w:bottom w:w="0" w:type="dxa"/>
            <w:right w:w="0" w:type="dxa"/>
          </w:tblCellMar>
        </w:tblPrEx>
        <w:trPr>
          <w:trHeight w:val="780"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营业办公活动消耗的纸</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吨</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73.5</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21.00</w:t>
            </w:r>
          </w:p>
        </w:tc>
      </w:tr>
      <w:tr>
        <w:tblPrEx>
          <w:shd w:val="clear" w:color="auto" w:fill="auto"/>
          <w:tblCellMar>
            <w:top w:w="0" w:type="dxa"/>
            <w:left w:w="0" w:type="dxa"/>
            <w:bottom w:w="0" w:type="dxa"/>
            <w:right w:w="0" w:type="dxa"/>
          </w:tblCellMar>
        </w:tblPrEx>
        <w:trPr>
          <w:trHeight w:val="79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间接碳排放合计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吨</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212.86</w:t>
            </w:r>
          </w:p>
        </w:tc>
      </w:tr>
      <w:tr>
        <w:tblPrEx>
          <w:shd w:val="clear" w:color="auto" w:fill="auto"/>
          <w:tblCellMar>
            <w:top w:w="0" w:type="dxa"/>
            <w:left w:w="0" w:type="dxa"/>
            <w:bottom w:w="0" w:type="dxa"/>
            <w:right w:w="0" w:type="dxa"/>
          </w:tblCellMar>
        </w:tblPrEx>
        <w:trPr>
          <w:trHeight w:val="780"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碳排放总量</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吨</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232.771</w:t>
            </w:r>
          </w:p>
        </w:tc>
      </w:tr>
      <w:tr>
        <w:tblPrEx>
          <w:shd w:val="clear" w:color="auto" w:fill="auto"/>
          <w:tblCellMar>
            <w:top w:w="0" w:type="dxa"/>
            <w:left w:w="0" w:type="dxa"/>
            <w:bottom w:w="0" w:type="dxa"/>
            <w:right w:w="0" w:type="dxa"/>
          </w:tblCellMar>
        </w:tblPrEx>
        <w:trPr>
          <w:trHeight w:val="780"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人均碳排放量</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吨/人</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1.96</w:t>
            </w:r>
          </w:p>
        </w:tc>
      </w:tr>
    </w:tbl>
    <w:p>
      <w:pPr>
        <w:pStyle w:val="9"/>
        <w:keepNext w:val="0"/>
        <w:keepLines w:val="0"/>
        <w:pageBreakBefore w:val="0"/>
        <w:widowControl w:val="0"/>
        <w:kinsoku/>
        <w:wordWrap/>
        <w:overflowPunct/>
        <w:topLinePunct w:val="0"/>
        <w:autoSpaceDE/>
        <w:autoSpaceDN/>
        <w:bidi w:val="0"/>
        <w:adjustRightInd/>
        <w:snapToGrid/>
        <w:textAlignment w:val="baseline"/>
        <w:rPr>
          <w:rFonts w:hint="eastAsia" w:ascii="仿宋_GB2312" w:hAnsi="仿宋_GB2312" w:cs="仿宋_GB2312"/>
          <w:snapToGrid/>
          <w:color w:val="auto"/>
          <w:kern w:val="2"/>
          <w:sz w:val="32"/>
          <w:szCs w:val="32"/>
          <w:highlight w:val="none"/>
          <w:lang w:val="en-US" w:eastAsia="zh-CN" w:bidi="ar-SA"/>
        </w:rPr>
      </w:pPr>
      <w:bookmarkStart w:id="31" w:name="_Toc15898_WPSOffice_Level2"/>
      <w:r>
        <w:rPr>
          <w:rFonts w:hint="eastAsia" w:ascii="仿宋_GB2312" w:hAnsi="仿宋_GB2312" w:cs="仿宋_GB2312"/>
          <w:snapToGrid/>
          <w:color w:val="auto"/>
          <w:kern w:val="2"/>
          <w:sz w:val="32"/>
          <w:szCs w:val="32"/>
          <w:highlight w:val="none"/>
          <w:lang w:val="en-US" w:eastAsia="zh-CN" w:bidi="ar-SA"/>
        </w:rPr>
        <w:t>（二）节能减排措施</w:t>
      </w:r>
      <w:bookmarkEnd w:id="31"/>
    </w:p>
    <w:p>
      <w:pPr>
        <w:pStyle w:val="9"/>
        <w:keepNext w:val="0"/>
        <w:keepLines w:val="0"/>
        <w:pageBreakBefore w:val="0"/>
        <w:widowControl w:val="0"/>
        <w:kinsoku/>
        <w:wordWrap/>
        <w:overflowPunct/>
        <w:topLinePunct w:val="0"/>
        <w:autoSpaceDE/>
        <w:autoSpaceDN/>
        <w:bidi w:val="0"/>
        <w:adjustRightInd/>
        <w:snapToGrid/>
        <w:textAlignment w:val="baseline"/>
        <w:rPr>
          <w:rFonts w:hint="eastAsia" w:ascii="仿宋_GB2312" w:hAnsi="宋体" w:eastAsia="仿宋_GB2312" w:cs="仿宋_GB2312"/>
          <w:color w:val="FF0000"/>
          <w:kern w:val="0"/>
          <w:sz w:val="31"/>
          <w:szCs w:val="31"/>
          <w:highlight w:val="none"/>
          <w:lang w:val="en-US" w:eastAsia="zh-CN" w:bidi="ar"/>
        </w:rPr>
      </w:pPr>
      <w:r>
        <w:rPr>
          <w:rFonts w:hint="eastAsia" w:ascii="仿宋_GB2312" w:hAnsi="仿宋_GB2312" w:cs="仿宋_GB2312"/>
          <w:snapToGrid/>
          <w:color w:val="auto"/>
          <w:kern w:val="2"/>
          <w:sz w:val="32"/>
          <w:szCs w:val="32"/>
          <w:highlight w:val="none"/>
          <w:lang w:val="en-US" w:eastAsia="zh-CN" w:bidi="ar-SA"/>
        </w:rPr>
        <w:t>1.全面启动绿色办公、集约化管理工作我社坚持绿色办公、节能环保的理念，根据降本增效工作方案，积极采取节电、减排、节水、节纸等措施，降低运营中的碳排放量和资源消耗。</w:t>
      </w:r>
    </w:p>
    <w:p>
      <w:pPr>
        <w:keepNext w:val="0"/>
        <w:keepLines w:val="0"/>
        <w:widowControl/>
        <w:suppressLineNumbers w:val="0"/>
        <w:jc w:val="center"/>
        <w:rPr>
          <w:rFonts w:hint="eastAsia" w:ascii="仿宋_GB2312" w:hAnsi="宋体" w:eastAsia="仿宋_GB2312" w:cs="仿宋_GB2312"/>
          <w:b/>
          <w:color w:val="000000" w:themeColor="text1"/>
          <w:kern w:val="0"/>
          <w:sz w:val="31"/>
          <w:szCs w:val="31"/>
          <w:highlight w:val="none"/>
          <w:lang w:val="en-US" w:eastAsia="zh-CN" w:bidi="ar"/>
          <w14:textFill>
            <w14:solidFill>
              <w14:schemeClr w14:val="tx1"/>
            </w14:solidFill>
          </w14:textFill>
        </w:rPr>
      </w:pPr>
      <w:bookmarkStart w:id="32" w:name="_Toc23470_WPSOffice_Level2"/>
      <w:r>
        <w:rPr>
          <w:rFonts w:hint="eastAsia" w:ascii="仿宋_GB2312" w:hAnsi="宋体" w:eastAsia="仿宋_GB2312" w:cs="仿宋_GB2312"/>
          <w:b/>
          <w:color w:val="000000" w:themeColor="text1"/>
          <w:kern w:val="0"/>
          <w:sz w:val="31"/>
          <w:szCs w:val="31"/>
          <w:highlight w:val="none"/>
          <w:lang w:val="en-US" w:eastAsia="zh-CN" w:bidi="ar"/>
          <w14:textFill>
            <w14:solidFill>
              <w14:schemeClr w14:val="tx1"/>
            </w14:solidFill>
          </w14:textFill>
        </w:rPr>
        <w:t>【运营活动中节能减排措施】</w:t>
      </w:r>
      <w:bookmarkEnd w:id="32"/>
    </w:p>
    <w:tbl>
      <w:tblPr>
        <w:tblStyle w:val="6"/>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552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tcPr>
          <w:p>
            <w:pPr>
              <w:spacing w:line="520" w:lineRule="exact"/>
              <w:contextualSpacing/>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管理内容</w:t>
            </w:r>
          </w:p>
        </w:tc>
        <w:tc>
          <w:tcPr>
            <w:tcW w:w="5528" w:type="dxa"/>
          </w:tcPr>
          <w:p>
            <w:pPr>
              <w:spacing w:line="520" w:lineRule="exact"/>
              <w:contextualSpacing/>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管理措施</w:t>
            </w:r>
          </w:p>
        </w:tc>
        <w:tc>
          <w:tcPr>
            <w:tcW w:w="1984" w:type="dxa"/>
          </w:tcPr>
          <w:p>
            <w:pPr>
              <w:spacing w:line="520" w:lineRule="exact"/>
              <w:contextualSpacing/>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执行效果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6" w:hRule="exact"/>
        </w:trPr>
        <w:tc>
          <w:tcPr>
            <w:tcW w:w="2269" w:type="dxa"/>
            <w:vAlign w:val="center"/>
          </w:tcPr>
          <w:p>
            <w:pPr>
              <w:spacing w:line="520" w:lineRule="exact"/>
              <w:contextualSpacing/>
              <w:jc w:val="center"/>
              <w:rPr>
                <w:rFonts w:ascii="仿宋_GB2312" w:hAnsi="仿宋" w:eastAsia="仿宋_GB2312" w:cs="仿宋"/>
                <w:sz w:val="24"/>
                <w:highlight w:val="none"/>
              </w:rPr>
            </w:pPr>
            <w:r>
              <w:rPr>
                <w:rFonts w:hint="eastAsia" w:ascii="仿宋_GB2312" w:hAnsi="仿宋" w:eastAsia="仿宋_GB2312" w:cs="仿宋"/>
                <w:sz w:val="24"/>
                <w:highlight w:val="none"/>
              </w:rPr>
              <w:t>办公场景节能</w:t>
            </w:r>
          </w:p>
        </w:tc>
        <w:tc>
          <w:tcPr>
            <w:tcW w:w="5528" w:type="dxa"/>
            <w:vAlign w:val="center"/>
          </w:tcPr>
          <w:p>
            <w:pPr>
              <w:spacing w:line="520" w:lineRule="exact"/>
              <w:contextualSpacing/>
              <w:jc w:val="left"/>
              <w:rPr>
                <w:rFonts w:hint="eastAsia" w:ascii="仿宋_GB2312" w:eastAsia="仿宋_GB2312"/>
                <w:sz w:val="24"/>
                <w:highlight w:val="none"/>
              </w:rPr>
            </w:pPr>
            <w:r>
              <w:rPr>
                <w:rFonts w:hint="eastAsia" w:ascii="仿宋_GB2312" w:eastAsia="仿宋_GB2312"/>
                <w:sz w:val="24"/>
                <w:highlight w:val="none"/>
              </w:rPr>
              <w:t>（一）用电节约：推广使用节能灯具（如LED灯），设置空调温度标准（夏季不低于26℃，冬季不高于20℃），非工作时间关闭办公设备电源（电脑、打印机等），减少待机能耗。（</w:t>
            </w:r>
            <w:r>
              <w:rPr>
                <w:rFonts w:hint="eastAsia" w:ascii="仿宋_GB2312" w:eastAsia="仿宋_GB2312"/>
                <w:sz w:val="24"/>
                <w:highlight w:val="none"/>
                <w:lang w:val="en-US" w:eastAsia="zh-CN"/>
              </w:rPr>
              <w:t>二</w:t>
            </w:r>
            <w:r>
              <w:rPr>
                <w:rFonts w:hint="eastAsia" w:ascii="仿宋_GB2312" w:eastAsia="仿宋_GB2312"/>
                <w:sz w:val="24"/>
                <w:highlight w:val="none"/>
              </w:rPr>
              <w:t>）纸张节约：推行无纸化办公，通过线上系统处理业务、传递文件；确需用纸时采用双面打印，回收利用废纸，减少一次性办公用品消耗。</w:t>
            </w:r>
          </w:p>
          <w:p>
            <w:pPr>
              <w:spacing w:line="520" w:lineRule="exact"/>
              <w:contextualSpacing/>
              <w:jc w:val="left"/>
              <w:rPr>
                <w:rFonts w:ascii="仿宋_GB2312" w:hAnsi="仿宋" w:eastAsia="仿宋_GB2312" w:cs="仿宋"/>
                <w:sz w:val="24"/>
                <w:highlight w:val="none"/>
              </w:rPr>
            </w:pPr>
          </w:p>
        </w:tc>
        <w:tc>
          <w:tcPr>
            <w:tcW w:w="1984" w:type="dxa"/>
            <w:vAlign w:val="center"/>
          </w:tcPr>
          <w:p>
            <w:pPr>
              <w:widowControl/>
              <w:spacing w:line="520" w:lineRule="exact"/>
              <w:contextualSpacing/>
              <w:jc w:val="left"/>
              <w:rPr>
                <w:rFonts w:ascii="仿宋_GB2312" w:hAnsi="仿宋" w:eastAsia="仿宋_GB2312" w:cs="仿宋"/>
                <w:sz w:val="24"/>
                <w:highlight w:val="none"/>
              </w:rPr>
            </w:pPr>
            <w:r>
              <w:rPr>
                <w:rFonts w:hint="eastAsia" w:ascii="仿宋_GB2312" w:hAnsi="仿宋" w:eastAsia="仿宋_GB2312" w:cs="仿宋"/>
                <w:color w:val="000000"/>
                <w:kern w:val="0"/>
                <w:sz w:val="24"/>
                <w:highlight w:val="none"/>
              </w:rPr>
              <w:t>提高能源效率。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3" w:hRule="exact"/>
        </w:trPr>
        <w:tc>
          <w:tcPr>
            <w:tcW w:w="2269" w:type="dxa"/>
            <w:vAlign w:val="center"/>
          </w:tcPr>
          <w:p>
            <w:pPr>
              <w:spacing w:line="520" w:lineRule="exact"/>
              <w:contextualSpacing/>
              <w:jc w:val="center"/>
              <w:rPr>
                <w:rFonts w:ascii="仿宋_GB2312" w:hAnsi="仿宋" w:eastAsia="仿宋_GB2312" w:cs="仿宋"/>
                <w:sz w:val="24"/>
                <w:highlight w:val="none"/>
              </w:rPr>
            </w:pPr>
            <w:r>
              <w:rPr>
                <w:rFonts w:hint="eastAsia" w:ascii="仿宋_GB2312" w:hAnsi="仿宋" w:eastAsia="仿宋_GB2312" w:cs="仿宋"/>
                <w:sz w:val="24"/>
                <w:highlight w:val="none"/>
              </w:rPr>
              <w:t>节水管理</w:t>
            </w:r>
          </w:p>
        </w:tc>
        <w:tc>
          <w:tcPr>
            <w:tcW w:w="5528" w:type="dxa"/>
            <w:vAlign w:val="center"/>
          </w:tcPr>
          <w:p>
            <w:pPr>
              <w:spacing w:line="520" w:lineRule="exact"/>
              <w:contextualSpacing/>
              <w:jc w:val="left"/>
              <w:rPr>
                <w:rFonts w:ascii="仿宋_GB2312" w:eastAsia="仿宋_GB2312"/>
                <w:sz w:val="24"/>
                <w:highlight w:val="none"/>
              </w:rPr>
            </w:pPr>
            <w:r>
              <w:rPr>
                <w:rFonts w:hint="eastAsia" w:ascii="仿宋_GB2312" w:eastAsia="仿宋_GB2312"/>
                <w:sz w:val="24"/>
                <w:highlight w:val="none"/>
              </w:rPr>
              <w:t>（一）杜绝跑、冒、漏、滴和长流水现象。卫生间非感应式水龙头用水时牢记及时关闭，如有发现水龙头损坏漏水等现象及时向办公室及物业反映；（二）物业加强用水设备日常维护和管理，及时更换老化及不节水器具；（三）联社大楼绿地养护用水，要根据季节和天气变化情况，科学适时进行灌溉。</w:t>
            </w:r>
          </w:p>
          <w:p>
            <w:pPr>
              <w:widowControl/>
              <w:spacing w:line="520" w:lineRule="exact"/>
              <w:contextualSpacing/>
              <w:jc w:val="left"/>
              <w:rPr>
                <w:rFonts w:ascii="仿宋_GB2312" w:hAnsi="仿宋" w:eastAsia="仿宋_GB2312" w:cs="仿宋"/>
                <w:sz w:val="24"/>
                <w:highlight w:val="none"/>
              </w:rPr>
            </w:pPr>
          </w:p>
        </w:tc>
        <w:tc>
          <w:tcPr>
            <w:tcW w:w="1984" w:type="dxa"/>
            <w:vAlign w:val="center"/>
          </w:tcPr>
          <w:p>
            <w:pPr>
              <w:widowControl/>
              <w:spacing w:line="520" w:lineRule="exact"/>
              <w:contextualSpacing/>
              <w:jc w:val="left"/>
              <w:rPr>
                <w:rFonts w:ascii="仿宋_GB2312" w:eastAsia="仿宋_GB2312"/>
                <w:sz w:val="24"/>
                <w:highlight w:val="none"/>
              </w:rPr>
            </w:pPr>
            <w:r>
              <w:rPr>
                <w:rFonts w:hint="eastAsia" w:ascii="仿宋_GB2312" w:hAnsi="仿宋" w:eastAsia="仿宋_GB2312" w:cs="仿宋"/>
                <w:color w:val="000000"/>
                <w:kern w:val="0"/>
                <w:sz w:val="24"/>
                <w:highlight w:val="none"/>
              </w:rPr>
              <w:t>减少水资源的不必要消耗。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exact"/>
        </w:trPr>
        <w:tc>
          <w:tcPr>
            <w:tcW w:w="2269" w:type="dxa"/>
            <w:vAlign w:val="center"/>
          </w:tcPr>
          <w:p>
            <w:pPr>
              <w:widowControl/>
              <w:spacing w:line="520" w:lineRule="exact"/>
              <w:contextualSpacing/>
              <w:jc w:val="center"/>
              <w:rPr>
                <w:rFonts w:ascii="仿宋_GB2312" w:eastAsia="仿宋_GB2312"/>
                <w:sz w:val="24"/>
                <w:highlight w:val="none"/>
              </w:rPr>
            </w:pPr>
            <w:r>
              <w:rPr>
                <w:rFonts w:hint="eastAsia" w:ascii="仿宋_GB2312" w:hAnsi="仿宋" w:eastAsia="仿宋_GB2312" w:cs="仿宋"/>
                <w:color w:val="000000"/>
                <w:kern w:val="0"/>
                <w:sz w:val="24"/>
                <w:highlight w:val="none"/>
              </w:rPr>
              <w:t>节材管理</w:t>
            </w:r>
          </w:p>
          <w:p>
            <w:pPr>
              <w:spacing w:line="520" w:lineRule="exact"/>
              <w:contextualSpacing/>
              <w:jc w:val="center"/>
              <w:rPr>
                <w:rFonts w:ascii="仿宋_GB2312" w:hAnsi="仿宋" w:eastAsia="仿宋_GB2312" w:cs="仿宋"/>
                <w:sz w:val="24"/>
                <w:highlight w:val="none"/>
              </w:rPr>
            </w:pPr>
          </w:p>
        </w:tc>
        <w:tc>
          <w:tcPr>
            <w:tcW w:w="5528" w:type="dxa"/>
            <w:vAlign w:val="center"/>
          </w:tcPr>
          <w:p>
            <w:pPr>
              <w:spacing w:line="520" w:lineRule="exact"/>
              <w:contextualSpacing/>
              <w:jc w:val="left"/>
              <w:rPr>
                <w:rFonts w:ascii="仿宋_GB2312" w:eastAsia="仿宋_GB2312"/>
                <w:sz w:val="24"/>
                <w:highlight w:val="none"/>
              </w:rPr>
            </w:pPr>
            <w:r>
              <w:rPr>
                <w:rFonts w:hint="eastAsia" w:ascii="仿宋_GB2312" w:eastAsia="仿宋_GB2312"/>
                <w:sz w:val="24"/>
                <w:highlight w:val="none"/>
              </w:rPr>
              <w:t>（一）加强办公耗材管理。每季度各部室原则申请一次办公耗材领用，办公室做好规范领用。复印、打印纸无特殊要求，原则上使用双面打印，废旧打印纸可当稿纸使用；</w:t>
            </w:r>
            <w:r>
              <w:rPr>
                <w:rFonts w:hint="eastAsia" w:ascii="仿宋_GB2312" w:hAnsi="仿宋_GB2312" w:eastAsia="仿宋_GB2312" w:cs="仿宋_GB2312"/>
                <w:i w:val="0"/>
                <w:color w:val="000000"/>
                <w:kern w:val="0"/>
                <w:sz w:val="24"/>
                <w:szCs w:val="24"/>
                <w:highlight w:val="none"/>
                <w:u w:val="none"/>
                <w:lang w:val="en-US" w:eastAsia="zh-CN" w:bidi="ar"/>
              </w:rPr>
              <w:t>纸管理使用OA办公、协同办公系统，普及移动办公，大力推行“无纸化办公”，减少文件打印。</w:t>
            </w:r>
            <w:r>
              <w:rPr>
                <w:rFonts w:hint="eastAsia" w:ascii="仿宋_GB2312" w:eastAsia="仿宋_GB2312"/>
                <w:sz w:val="24"/>
                <w:highlight w:val="none"/>
              </w:rPr>
              <w:t>（二）各部室日常宣传材料制作要提前做好预估与摸底，防止堆积浪费。</w:t>
            </w:r>
          </w:p>
          <w:p>
            <w:pPr>
              <w:spacing w:line="520" w:lineRule="exact"/>
              <w:contextualSpacing/>
              <w:jc w:val="left"/>
              <w:rPr>
                <w:rFonts w:ascii="仿宋_GB2312" w:hAnsi="仿宋" w:eastAsia="仿宋_GB2312" w:cs="仿宋"/>
                <w:sz w:val="24"/>
                <w:highlight w:val="none"/>
              </w:rPr>
            </w:pPr>
          </w:p>
        </w:tc>
        <w:tc>
          <w:tcPr>
            <w:tcW w:w="1984" w:type="dxa"/>
            <w:vAlign w:val="center"/>
          </w:tcPr>
          <w:p>
            <w:pPr>
              <w:widowControl/>
              <w:spacing w:line="520" w:lineRule="exact"/>
              <w:contextualSpacing/>
              <w:jc w:val="left"/>
              <w:rPr>
                <w:rFonts w:ascii="仿宋_GB2312" w:hAnsi="仿宋" w:eastAsia="仿宋_GB2312" w:cs="仿宋"/>
                <w:sz w:val="24"/>
                <w:highlight w:val="none"/>
              </w:rPr>
            </w:pPr>
            <w:r>
              <w:rPr>
                <w:rFonts w:hint="eastAsia" w:ascii="仿宋_GB2312" w:hAnsi="仿宋" w:eastAsia="仿宋_GB2312" w:cs="仿宋"/>
                <w:color w:val="000000"/>
                <w:kern w:val="0"/>
                <w:sz w:val="24"/>
                <w:highlight w:val="none"/>
              </w:rPr>
              <w:t>提高低值易耗品使用率。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exact"/>
        </w:trPr>
        <w:tc>
          <w:tcPr>
            <w:tcW w:w="2269" w:type="dxa"/>
            <w:vAlign w:val="center"/>
          </w:tcPr>
          <w:p>
            <w:pPr>
              <w:spacing w:line="520" w:lineRule="exact"/>
              <w:contextualSpacing/>
              <w:jc w:val="center"/>
              <w:rPr>
                <w:rFonts w:ascii="仿宋_GB2312" w:hAnsi="仿宋" w:eastAsia="仿宋_GB2312" w:cs="仿宋"/>
                <w:sz w:val="24"/>
                <w:highlight w:val="none"/>
              </w:rPr>
            </w:pPr>
            <w:r>
              <w:rPr>
                <w:rFonts w:hint="eastAsia" w:ascii="仿宋_GB2312" w:hAnsi="仿宋" w:eastAsia="仿宋_GB2312" w:cs="仿宋"/>
                <w:sz w:val="24"/>
                <w:highlight w:val="none"/>
              </w:rPr>
              <w:t>节油管理</w:t>
            </w:r>
          </w:p>
        </w:tc>
        <w:tc>
          <w:tcPr>
            <w:tcW w:w="5528" w:type="dxa"/>
            <w:vAlign w:val="center"/>
          </w:tcPr>
          <w:p>
            <w:pPr>
              <w:widowControl/>
              <w:spacing w:line="520" w:lineRule="exact"/>
              <w:contextualSpacing/>
              <w:jc w:val="left"/>
              <w:rPr>
                <w:rFonts w:ascii="仿宋_GB2312" w:hAnsi="仿宋" w:eastAsia="仿宋_GB2312" w:cs="仿宋"/>
                <w:sz w:val="24"/>
                <w:highlight w:val="none"/>
              </w:rPr>
            </w:pPr>
            <w:r>
              <w:rPr>
                <w:rFonts w:hint="eastAsia" w:ascii="仿宋_GB2312" w:hAnsi="仿宋" w:eastAsia="仿宋_GB2312" w:cs="仿宋"/>
                <w:color w:val="000000"/>
                <w:kern w:val="0"/>
                <w:sz w:val="24"/>
                <w:highlight w:val="none"/>
              </w:rPr>
              <w:t>严格执行国家相关规定，加强全行范围内的车辆管理及燃油管理，同时加强员工宣传教育，倡导绿色出行。</w:t>
            </w:r>
          </w:p>
        </w:tc>
        <w:tc>
          <w:tcPr>
            <w:tcW w:w="1984" w:type="dxa"/>
            <w:vAlign w:val="center"/>
          </w:tcPr>
          <w:p>
            <w:pPr>
              <w:widowControl/>
              <w:spacing w:line="520" w:lineRule="exact"/>
              <w:contextualSpacing/>
              <w:jc w:val="left"/>
              <w:rPr>
                <w:rFonts w:ascii="仿宋_GB2312" w:hAnsi="仿宋" w:eastAsia="仿宋_GB2312" w:cs="仿宋"/>
                <w:sz w:val="24"/>
                <w:highlight w:val="none"/>
              </w:rPr>
            </w:pPr>
            <w:r>
              <w:rPr>
                <w:rFonts w:hint="eastAsia" w:ascii="仿宋_GB2312" w:hAnsi="仿宋" w:eastAsia="仿宋_GB2312" w:cs="仿宋"/>
                <w:color w:val="000000"/>
                <w:kern w:val="0"/>
                <w:sz w:val="24"/>
                <w:highlight w:val="none"/>
              </w:rPr>
              <w:t>提高节能减排成效。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exact"/>
        </w:trPr>
        <w:tc>
          <w:tcPr>
            <w:tcW w:w="2269" w:type="dxa"/>
            <w:vAlign w:val="center"/>
          </w:tcPr>
          <w:p>
            <w:pPr>
              <w:spacing w:line="520" w:lineRule="exact"/>
              <w:contextualSpacing/>
              <w:jc w:val="center"/>
              <w:rPr>
                <w:rFonts w:ascii="仿宋_GB2312" w:hAnsi="仿宋" w:eastAsia="仿宋_GB2312" w:cs="仿宋"/>
                <w:sz w:val="24"/>
                <w:highlight w:val="none"/>
              </w:rPr>
            </w:pPr>
            <w:r>
              <w:rPr>
                <w:rFonts w:hint="eastAsia" w:ascii="仿宋_GB2312" w:hAnsi="仿宋" w:eastAsia="仿宋_GB2312" w:cs="仿宋"/>
                <w:sz w:val="24"/>
                <w:highlight w:val="none"/>
              </w:rPr>
              <w:t>技术赋能减排</w:t>
            </w:r>
          </w:p>
        </w:tc>
        <w:tc>
          <w:tcPr>
            <w:tcW w:w="5528" w:type="dxa"/>
            <w:vAlign w:val="center"/>
          </w:tcPr>
          <w:p>
            <w:pPr>
              <w:widowControl/>
              <w:spacing w:line="520" w:lineRule="exact"/>
              <w:contextualSpacing/>
              <w:jc w:val="left"/>
              <w:rPr>
                <w:rFonts w:hint="eastAsia"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 xml:space="preserve"> 数字化转型：通过线上银行、手机APP、远程视频服务等方式，引导客户减少线下办理业务的频率，降低因客户往返和现场服务产生的间接能耗（如交通、空调使用等）。</w:t>
            </w:r>
          </w:p>
          <w:p>
            <w:pPr>
              <w:widowControl/>
              <w:spacing w:line="520" w:lineRule="exact"/>
              <w:contextualSpacing/>
              <w:jc w:val="left"/>
              <w:rPr>
                <w:rFonts w:ascii="仿宋_GB2312" w:eastAsia="仿宋_GB2312"/>
                <w:sz w:val="24"/>
                <w:highlight w:val="none"/>
              </w:rPr>
            </w:pPr>
          </w:p>
          <w:p>
            <w:pPr>
              <w:spacing w:line="520" w:lineRule="exact"/>
              <w:contextualSpacing/>
              <w:jc w:val="left"/>
              <w:rPr>
                <w:rFonts w:ascii="仿宋_GB2312" w:hAnsi="仿宋" w:eastAsia="仿宋_GB2312" w:cs="仿宋"/>
                <w:sz w:val="24"/>
                <w:highlight w:val="none"/>
              </w:rPr>
            </w:pPr>
          </w:p>
        </w:tc>
        <w:tc>
          <w:tcPr>
            <w:tcW w:w="1984" w:type="dxa"/>
            <w:vAlign w:val="center"/>
          </w:tcPr>
          <w:p>
            <w:pPr>
              <w:widowControl/>
              <w:spacing w:line="520" w:lineRule="exact"/>
              <w:contextualSpacing/>
              <w:jc w:val="left"/>
              <w:rPr>
                <w:rFonts w:ascii="仿宋_GB2312" w:hAnsi="仿宋" w:eastAsia="仿宋_GB2312" w:cs="仿宋"/>
                <w:sz w:val="24"/>
                <w:highlight w:val="none"/>
              </w:rPr>
            </w:pPr>
            <w:r>
              <w:rPr>
                <w:rFonts w:hint="eastAsia" w:ascii="仿宋_GB2312" w:hAnsi="仿宋" w:eastAsia="仿宋_GB2312" w:cs="仿宋"/>
                <w:color w:val="000000"/>
                <w:kern w:val="0"/>
                <w:sz w:val="24"/>
                <w:highlight w:val="none"/>
                <w:lang w:val="en-US" w:eastAsia="zh-CN"/>
              </w:rPr>
              <w:t>有效减少能源和资源消耗</w:t>
            </w:r>
          </w:p>
        </w:tc>
      </w:tr>
    </w:tbl>
    <w:p>
      <w:pPr>
        <w:pStyle w:val="9"/>
        <w:rPr>
          <w:highlight w:val="none"/>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t>通过各类节能减排措施，并建立监督机制，促进员工形成良好习惯，营造了节约用电（水）、合理用电（水）、安全用电、节约用餐，反对铺张浪费等良好氛围，进一步提升了员工节能环保意识，影响身边人、带动身边人。</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rPr>
          <w:rFonts w:hint="eastAsia"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pPr>
      <w:r>
        <w:rPr>
          <w:rFonts w:hint="eastAsia" w:ascii="仿宋_GB2312" w:hAnsi="宋体" w:eastAsia="仿宋_GB2312" w:cs="仿宋_GB2312"/>
          <w:b/>
          <w:color w:val="000000" w:themeColor="text1"/>
          <w:kern w:val="0"/>
          <w:sz w:val="31"/>
          <w:szCs w:val="31"/>
          <w:highlight w:val="none"/>
          <w:lang w:val="en-US" w:eastAsia="zh-CN" w:bidi="ar"/>
          <w14:textFill>
            <w14:solidFill>
              <w14:schemeClr w14:val="tx1"/>
            </w14:solidFill>
          </w14:textFill>
        </w:rPr>
        <w:t>2.积极开展绿色公益活动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t>在环保公益方面，我社加大绿色理念培育力度，增强社会对碳中和、绿色金融知识认知，参与环保宣传、植树造林、城乡垃圾分类等绿色文化主题活动，大力宣传我社绿色环保理念。</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宋体" w:eastAsia="黑体" w:cs="黑体"/>
          <w:color w:val="000000" w:themeColor="text1"/>
          <w:kern w:val="0"/>
          <w:sz w:val="32"/>
          <w:szCs w:val="32"/>
          <w:highlight w:val="none"/>
          <w:lang w:val="en-US" w:eastAsia="zh-CN" w:bidi="ar"/>
          <w14:textFill>
            <w14:solidFill>
              <w14:schemeClr w14:val="tx1"/>
            </w14:solidFill>
          </w14:textFill>
        </w:rPr>
      </w:pPr>
      <w:bookmarkStart w:id="33" w:name="_Toc20776_WPSOffice_Level1"/>
      <w:r>
        <w:rPr>
          <w:rFonts w:hint="eastAsia" w:ascii="黑体" w:hAnsi="宋体" w:eastAsia="黑体" w:cs="黑体"/>
          <w:color w:val="000000" w:themeColor="text1"/>
          <w:kern w:val="0"/>
          <w:sz w:val="32"/>
          <w:szCs w:val="32"/>
          <w:highlight w:val="none"/>
          <w:lang w:val="en-US" w:eastAsia="zh-CN" w:bidi="ar"/>
          <w14:textFill>
            <w14:solidFill>
              <w14:schemeClr w14:val="tx1"/>
            </w14:solidFill>
          </w14:textFill>
        </w:rPr>
        <w:t>投融资活动对气候与环境的影响</w:t>
      </w:r>
      <w:bookmarkEnd w:id="33"/>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本社积极贯彻国家绿色经济政策，坚持可持续发展理念，坚持低碳经济策略，落实各项绿色办公措施，不断提升电子化业务水平，助力绿色金融发展，履行金融机构的环境责任。树立“绿水青山就是金山银山”的发展理念，坚持优化生态环境，拓宽绿色发展道路，根据本社制定的绿色信贷发展规划，确保绿色信贷业务持续增长。截至2024年末，绿色信贷余额2182.76万元，占比0.78%。绿色信贷保持持续增长趋势，贷款投向主要为节能环保、生态环境产业等领域，本社暂未开办绿色债券业务，暂无大额绿色项目授信贷款。</w:t>
      </w:r>
    </w:p>
    <w:p>
      <w:pPr>
        <w:keepNext w:val="0"/>
        <w:keepLines w:val="0"/>
        <w:pageBreakBefore w:val="0"/>
        <w:widowControl/>
        <w:suppressLineNumbers w:val="0"/>
        <w:kinsoku/>
        <w:wordWrap/>
        <w:overflowPunct/>
        <w:topLinePunct w:val="0"/>
        <w:autoSpaceDE/>
        <w:bidi w:val="0"/>
        <w:snapToGrid/>
        <w:spacing w:line="240" w:lineRule="auto"/>
        <w:jc w:val="center"/>
        <w:rPr>
          <w:rFonts w:hint="eastAsia" w:ascii="仿宋_GB2312" w:hAnsi="宋体" w:eastAsia="仿宋_GB2312" w:cs="仿宋_GB2312"/>
          <w:b/>
          <w:color w:val="auto"/>
          <w:kern w:val="0"/>
          <w:sz w:val="31"/>
          <w:szCs w:val="31"/>
          <w:highlight w:val="none"/>
          <w:lang w:val="en-US" w:eastAsia="zh-CN" w:bidi="ar"/>
        </w:rPr>
      </w:pPr>
      <w:bookmarkStart w:id="34" w:name="_Toc25476_WPSOffice_Level2"/>
      <w:r>
        <w:rPr>
          <w:rFonts w:hint="eastAsia" w:ascii="仿宋_GB2312" w:hAnsi="宋体" w:eastAsia="仿宋_GB2312" w:cs="仿宋_GB2312"/>
          <w:b/>
          <w:color w:val="auto"/>
          <w:kern w:val="0"/>
          <w:sz w:val="31"/>
          <w:szCs w:val="31"/>
          <w:highlight w:val="none"/>
          <w:lang w:val="en-US" w:eastAsia="zh-CN" w:bidi="ar"/>
        </w:rPr>
        <w:t>【</w:t>
      </w:r>
      <w:r>
        <w:rPr>
          <w:rFonts w:hint="eastAsia" w:ascii="仿宋_GB2312" w:hAnsi="宋体" w:eastAsia="仿宋_GB2312" w:cs="仿宋_GB2312"/>
          <w:b/>
          <w:color w:val="auto"/>
          <w:kern w:val="0"/>
          <w:sz w:val="28"/>
          <w:szCs w:val="28"/>
          <w:highlight w:val="none"/>
          <w:lang w:val="en-US" w:eastAsia="zh-CN" w:bidi="ar"/>
        </w:rPr>
        <w:t>投融资活动对气候与环境的影响</w:t>
      </w:r>
      <w:r>
        <w:rPr>
          <w:rFonts w:hint="eastAsia" w:ascii="仿宋_GB2312" w:hAnsi="宋体" w:eastAsia="仿宋_GB2312" w:cs="仿宋_GB2312"/>
          <w:b/>
          <w:color w:val="auto"/>
          <w:kern w:val="0"/>
          <w:sz w:val="31"/>
          <w:szCs w:val="31"/>
          <w:highlight w:val="none"/>
          <w:lang w:val="en-US" w:eastAsia="zh-CN" w:bidi="ar"/>
        </w:rPr>
        <w:t>】</w:t>
      </w:r>
      <w:bookmarkEnd w:id="34"/>
    </w:p>
    <w:tbl>
      <w:tblPr>
        <w:tblStyle w:val="7"/>
        <w:tblW w:w="912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7"/>
        <w:gridCol w:w="3247"/>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7" w:type="dxa"/>
          </w:tcPr>
          <w:p>
            <w:pPr>
              <w:pStyle w:val="9"/>
              <w:keepNext w:val="0"/>
              <w:keepLines w:val="0"/>
              <w:pageBreakBefore w:val="0"/>
              <w:kinsoku/>
              <w:wordWrap/>
              <w:overflowPunct/>
              <w:topLinePunct w:val="0"/>
              <w:autoSpaceDE/>
              <w:bidi w:val="0"/>
              <w:snapToGrid/>
              <w:spacing w:line="240" w:lineRule="auto"/>
              <w:rPr>
                <w:rFonts w:hint="eastAsia" w:ascii="仿宋_GB2312" w:hAnsi="宋体" w:eastAsia="仿宋_GB2312" w:cs="仿宋_GB2312"/>
                <w:b/>
                <w:color w:val="auto"/>
                <w:kern w:val="0"/>
                <w:sz w:val="31"/>
                <w:szCs w:val="31"/>
                <w:highlight w:val="none"/>
                <w:vertAlign w:val="baseline"/>
                <w:lang w:val="en-US" w:eastAsia="zh-CN" w:bidi="ar"/>
              </w:rPr>
            </w:pPr>
            <w:r>
              <w:rPr>
                <w:rFonts w:hint="eastAsia" w:ascii="仿宋_GB2312" w:hAnsi="宋体" w:cs="仿宋_GB2312"/>
                <w:b/>
                <w:color w:val="auto"/>
                <w:kern w:val="0"/>
                <w:sz w:val="31"/>
                <w:szCs w:val="31"/>
                <w:highlight w:val="none"/>
                <w:vertAlign w:val="baseline"/>
                <w:lang w:val="en-US" w:eastAsia="zh-CN" w:bidi="ar"/>
              </w:rPr>
              <w:t>指标名称</w:t>
            </w:r>
          </w:p>
        </w:tc>
        <w:tc>
          <w:tcPr>
            <w:tcW w:w="3247" w:type="dxa"/>
          </w:tcPr>
          <w:p>
            <w:pPr>
              <w:pStyle w:val="9"/>
              <w:keepNext w:val="0"/>
              <w:keepLines w:val="0"/>
              <w:pageBreakBefore w:val="0"/>
              <w:kinsoku/>
              <w:wordWrap/>
              <w:overflowPunct/>
              <w:topLinePunct w:val="0"/>
              <w:autoSpaceDE/>
              <w:bidi w:val="0"/>
              <w:snapToGrid/>
              <w:spacing w:line="240" w:lineRule="auto"/>
              <w:rPr>
                <w:rFonts w:hint="eastAsia" w:ascii="仿宋_GB2312" w:hAnsi="宋体" w:eastAsia="仿宋_GB2312" w:cs="仿宋_GB2312"/>
                <w:b/>
                <w:color w:val="auto"/>
                <w:kern w:val="0"/>
                <w:sz w:val="31"/>
                <w:szCs w:val="31"/>
                <w:highlight w:val="none"/>
                <w:vertAlign w:val="baseline"/>
                <w:lang w:val="en-US" w:eastAsia="zh-CN" w:bidi="ar"/>
              </w:rPr>
            </w:pPr>
            <w:r>
              <w:rPr>
                <w:rFonts w:hint="eastAsia" w:ascii="仿宋_GB2312" w:hAnsi="宋体" w:cs="仿宋_GB2312"/>
                <w:b/>
                <w:color w:val="auto"/>
                <w:kern w:val="0"/>
                <w:sz w:val="31"/>
                <w:szCs w:val="31"/>
                <w:highlight w:val="none"/>
                <w:vertAlign w:val="baseline"/>
                <w:lang w:val="en-US" w:eastAsia="zh-CN" w:bidi="ar"/>
              </w:rPr>
              <w:t>披露细项</w:t>
            </w:r>
          </w:p>
        </w:tc>
        <w:tc>
          <w:tcPr>
            <w:tcW w:w="2219" w:type="dxa"/>
          </w:tcPr>
          <w:p>
            <w:pPr>
              <w:pStyle w:val="9"/>
              <w:keepNext w:val="0"/>
              <w:keepLines w:val="0"/>
              <w:pageBreakBefore w:val="0"/>
              <w:kinsoku/>
              <w:wordWrap/>
              <w:overflowPunct/>
              <w:topLinePunct w:val="0"/>
              <w:autoSpaceDE/>
              <w:bidi w:val="0"/>
              <w:snapToGrid/>
              <w:spacing w:line="240" w:lineRule="auto"/>
              <w:ind w:left="0" w:leftChars="0" w:firstLine="311" w:firstLineChars="100"/>
              <w:rPr>
                <w:rFonts w:hint="eastAsia" w:ascii="仿宋_GB2312" w:hAnsi="宋体" w:eastAsia="仿宋_GB2312" w:cs="仿宋_GB2312"/>
                <w:b/>
                <w:color w:val="auto"/>
                <w:kern w:val="0"/>
                <w:sz w:val="31"/>
                <w:szCs w:val="31"/>
                <w:highlight w:val="none"/>
                <w:vertAlign w:val="baseline"/>
                <w:lang w:val="en-US" w:eastAsia="zh-CN" w:bidi="ar"/>
              </w:rPr>
            </w:pPr>
            <w:r>
              <w:rPr>
                <w:rFonts w:hint="eastAsia" w:ascii="仿宋_GB2312" w:hAnsi="宋体" w:cs="仿宋_GB2312"/>
                <w:b/>
                <w:color w:val="auto"/>
                <w:kern w:val="0"/>
                <w:sz w:val="31"/>
                <w:szCs w:val="31"/>
                <w:highlight w:val="none"/>
                <w:vertAlign w:val="baseline"/>
                <w:lang w:val="en-US" w:eastAsia="zh-CN" w:bidi="ar"/>
              </w:rPr>
              <w:t>披露数据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7" w:type="dxa"/>
            <w:vMerge w:val="restart"/>
            <w:vAlign w:val="center"/>
          </w:tcPr>
          <w:p>
            <w:pPr>
              <w:keepNext w:val="0"/>
              <w:keepLines w:val="0"/>
              <w:pageBreakBefore w:val="0"/>
              <w:widowControl/>
              <w:suppressLineNumbers w:val="0"/>
              <w:kinsoku/>
              <w:wordWrap/>
              <w:overflowPunct/>
              <w:topLinePunct w:val="0"/>
              <w:autoSpaceDE/>
              <w:bidi w:val="0"/>
              <w:snapToGrid/>
              <w:spacing w:line="240" w:lineRule="auto"/>
              <w:jc w:val="center"/>
              <w:rPr>
                <w:rFonts w:hint="eastAsia" w:ascii="仿宋_GB2312" w:hAnsi="宋体" w:eastAsia="仿宋_GB2312" w:cs="仿宋_GB2312"/>
                <w:b/>
                <w:color w:val="auto"/>
                <w:kern w:val="0"/>
                <w:sz w:val="31"/>
                <w:szCs w:val="31"/>
                <w:highlight w:val="none"/>
                <w:vertAlign w:val="baseline"/>
                <w:lang w:val="en-US" w:eastAsia="zh-CN" w:bidi="ar"/>
              </w:rPr>
            </w:pPr>
            <w:r>
              <w:rPr>
                <w:rFonts w:hint="eastAsia" w:ascii="宋体" w:hAnsi="宋体" w:eastAsia="宋体" w:cs="宋体"/>
                <w:color w:val="auto"/>
                <w:kern w:val="0"/>
                <w:sz w:val="22"/>
                <w:szCs w:val="22"/>
                <w:highlight w:val="none"/>
                <w:lang w:val="en-US" w:eastAsia="zh-CN" w:bidi="ar"/>
              </w:rPr>
              <w:t>绿色贷款余额及占比</w:t>
            </w:r>
          </w:p>
        </w:tc>
        <w:tc>
          <w:tcPr>
            <w:tcW w:w="3247" w:type="dxa"/>
            <w:vAlign w:val="center"/>
          </w:tcPr>
          <w:p>
            <w:pPr>
              <w:keepNext w:val="0"/>
              <w:keepLines w:val="0"/>
              <w:pageBreakBefore w:val="0"/>
              <w:widowControl/>
              <w:suppressLineNumbers w:val="0"/>
              <w:kinsoku/>
              <w:wordWrap/>
              <w:overflowPunct/>
              <w:topLinePunct w:val="0"/>
              <w:autoSpaceDE/>
              <w:bidi w:val="0"/>
              <w:snapToGrid/>
              <w:spacing w:line="240" w:lineRule="auto"/>
              <w:jc w:val="both"/>
              <w:rPr>
                <w:rFonts w:hint="eastAsia" w:ascii="仿宋_GB2312" w:hAnsi="宋体" w:eastAsia="仿宋_GB2312" w:cs="仿宋_GB2312"/>
                <w:b/>
                <w:color w:val="auto"/>
                <w:kern w:val="0"/>
                <w:sz w:val="31"/>
                <w:szCs w:val="31"/>
                <w:highlight w:val="none"/>
                <w:vertAlign w:val="baseline"/>
                <w:lang w:val="en-US" w:eastAsia="zh-CN" w:bidi="ar"/>
              </w:rPr>
            </w:pPr>
            <w:r>
              <w:rPr>
                <w:rFonts w:hint="eastAsia" w:ascii="宋体" w:hAnsi="宋体" w:eastAsia="宋体" w:cs="宋体"/>
                <w:color w:val="auto"/>
                <w:kern w:val="0"/>
                <w:sz w:val="22"/>
                <w:szCs w:val="22"/>
                <w:highlight w:val="none"/>
                <w:lang w:val="en-US" w:eastAsia="zh-CN" w:bidi="ar"/>
              </w:rPr>
              <w:t>绿色贷款余额及占比</w:t>
            </w:r>
          </w:p>
        </w:tc>
        <w:tc>
          <w:tcPr>
            <w:tcW w:w="2219" w:type="dxa"/>
            <w:vAlign w:val="center"/>
          </w:tcPr>
          <w:p>
            <w:pPr>
              <w:pStyle w:val="9"/>
              <w:keepNext w:val="0"/>
              <w:keepLines w:val="0"/>
              <w:pageBreakBefore w:val="0"/>
              <w:kinsoku/>
              <w:wordWrap/>
              <w:overflowPunct/>
              <w:topLinePunct w:val="0"/>
              <w:autoSpaceDE/>
              <w:bidi w:val="0"/>
              <w:snapToGrid/>
              <w:spacing w:line="240" w:lineRule="auto"/>
              <w:jc w:val="center"/>
              <w:rPr>
                <w:rFonts w:hint="default" w:ascii="仿宋_GB2312" w:hAnsi="宋体" w:eastAsia="仿宋_GB2312" w:cs="仿宋_GB2312"/>
                <w:b/>
                <w:color w:val="auto"/>
                <w:kern w:val="0"/>
                <w:sz w:val="31"/>
                <w:szCs w:val="31"/>
                <w:highlight w:val="none"/>
                <w:vertAlign w:val="baseline"/>
                <w:lang w:val="en-US" w:eastAsia="zh-CN" w:bidi="ar"/>
              </w:rPr>
            </w:pPr>
            <w:r>
              <w:rPr>
                <w:rFonts w:hint="eastAsia" w:ascii="仿宋_GB2312" w:hAnsi="宋体" w:cs="仿宋_GB2312"/>
                <w:b/>
                <w:color w:val="auto"/>
                <w:kern w:val="0"/>
                <w:sz w:val="31"/>
                <w:szCs w:val="31"/>
                <w:highlight w:val="none"/>
                <w:vertAlign w:val="baseline"/>
                <w:lang w:val="en-US" w:eastAsia="zh-CN" w:bidi="ar"/>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7" w:type="dxa"/>
            <w:vMerge w:val="continue"/>
          </w:tcPr>
          <w:p>
            <w:pPr>
              <w:pStyle w:val="9"/>
              <w:keepNext w:val="0"/>
              <w:keepLines w:val="0"/>
              <w:pageBreakBefore w:val="0"/>
              <w:kinsoku/>
              <w:wordWrap/>
              <w:overflowPunct/>
              <w:topLinePunct w:val="0"/>
              <w:autoSpaceDE/>
              <w:bidi w:val="0"/>
              <w:snapToGrid/>
              <w:spacing w:line="240" w:lineRule="auto"/>
              <w:rPr>
                <w:rFonts w:hint="eastAsia" w:ascii="仿宋_GB2312" w:hAnsi="宋体" w:eastAsia="仿宋_GB2312" w:cs="仿宋_GB2312"/>
                <w:b/>
                <w:color w:val="auto"/>
                <w:kern w:val="0"/>
                <w:sz w:val="31"/>
                <w:szCs w:val="31"/>
                <w:highlight w:val="none"/>
                <w:vertAlign w:val="baseline"/>
                <w:lang w:val="en-US" w:eastAsia="zh-CN" w:bidi="ar"/>
              </w:rPr>
            </w:pPr>
          </w:p>
        </w:tc>
        <w:tc>
          <w:tcPr>
            <w:tcW w:w="3247" w:type="dxa"/>
            <w:vAlign w:val="center"/>
          </w:tcPr>
          <w:p>
            <w:pPr>
              <w:pStyle w:val="9"/>
              <w:keepNext w:val="0"/>
              <w:keepLines w:val="0"/>
              <w:pageBreakBefore w:val="0"/>
              <w:kinsoku/>
              <w:wordWrap/>
              <w:overflowPunct/>
              <w:topLinePunct w:val="0"/>
              <w:autoSpaceDE/>
              <w:bidi w:val="0"/>
              <w:snapToGrid/>
              <w:spacing w:line="240" w:lineRule="auto"/>
              <w:ind w:left="0" w:leftChars="0" w:firstLine="0" w:firstLineChars="0"/>
              <w:jc w:val="both"/>
              <w:rPr>
                <w:rFonts w:hint="eastAsia" w:ascii="仿宋_GB2312" w:hAnsi="宋体" w:eastAsia="仿宋_GB2312" w:cs="仿宋_GB2312"/>
                <w:b/>
                <w:color w:val="auto"/>
                <w:kern w:val="0"/>
                <w:sz w:val="31"/>
                <w:szCs w:val="31"/>
                <w:highlight w:val="none"/>
                <w:vertAlign w:val="baseline"/>
                <w:lang w:val="en-US" w:eastAsia="zh-CN" w:bidi="ar"/>
              </w:rPr>
            </w:pPr>
            <w:r>
              <w:rPr>
                <w:rFonts w:hint="eastAsia" w:ascii="宋体" w:hAnsi="宋体" w:eastAsia="宋体" w:cs="宋体"/>
                <w:color w:val="auto"/>
                <w:kern w:val="0"/>
                <w:sz w:val="22"/>
                <w:szCs w:val="22"/>
                <w:highlight w:val="none"/>
                <w:lang w:val="en-US" w:eastAsia="zh-CN" w:bidi="ar"/>
              </w:rPr>
              <w:t>绿色贷款余额（万元）</w:t>
            </w:r>
          </w:p>
        </w:tc>
        <w:tc>
          <w:tcPr>
            <w:tcW w:w="2219" w:type="dxa"/>
            <w:vAlign w:val="center"/>
          </w:tcPr>
          <w:p>
            <w:pPr>
              <w:pStyle w:val="9"/>
              <w:keepNext w:val="0"/>
              <w:keepLines w:val="0"/>
              <w:pageBreakBefore w:val="0"/>
              <w:kinsoku/>
              <w:wordWrap/>
              <w:overflowPunct/>
              <w:topLinePunct w:val="0"/>
              <w:autoSpaceDE/>
              <w:bidi w:val="0"/>
              <w:snapToGrid/>
              <w:spacing w:line="240" w:lineRule="auto"/>
              <w:jc w:val="center"/>
              <w:rPr>
                <w:rFonts w:hint="default" w:ascii="仿宋_GB2312" w:hAnsi="宋体" w:eastAsia="仿宋_GB2312" w:cs="仿宋_GB2312"/>
                <w:b/>
                <w:color w:val="auto"/>
                <w:kern w:val="0"/>
                <w:sz w:val="31"/>
                <w:szCs w:val="31"/>
                <w:highlight w:val="none"/>
                <w:vertAlign w:val="baseline"/>
                <w:lang w:val="en-US" w:eastAsia="zh-CN" w:bidi="ar"/>
              </w:rPr>
            </w:pPr>
            <w:r>
              <w:rPr>
                <w:rFonts w:hint="eastAsia" w:ascii="仿宋_GB2312" w:hAnsi="宋体" w:cs="仿宋_GB2312"/>
                <w:b/>
                <w:color w:val="auto"/>
                <w:kern w:val="0"/>
                <w:sz w:val="31"/>
                <w:szCs w:val="31"/>
                <w:highlight w:val="none"/>
                <w:vertAlign w:val="baseline"/>
                <w:lang w:val="en-US" w:eastAsia="zh-CN" w:bidi="ar"/>
              </w:rPr>
              <w:t>2182.76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7" w:type="dxa"/>
            <w:vMerge w:val="restart"/>
            <w:vAlign w:val="center"/>
          </w:tcPr>
          <w:p>
            <w:pPr>
              <w:keepNext w:val="0"/>
              <w:keepLines w:val="0"/>
              <w:pageBreakBefore w:val="0"/>
              <w:widowControl/>
              <w:suppressLineNumbers w:val="0"/>
              <w:kinsoku/>
              <w:wordWrap/>
              <w:overflowPunct/>
              <w:topLinePunct w:val="0"/>
              <w:autoSpaceDE/>
              <w:bidi w:val="0"/>
              <w:snapToGrid/>
              <w:spacing w:line="240" w:lineRule="auto"/>
              <w:jc w:val="center"/>
              <w:rPr>
                <w:rFonts w:hint="eastAsia" w:ascii="仿宋_GB2312" w:hAnsi="宋体" w:eastAsia="仿宋_GB2312" w:cs="仿宋_GB2312"/>
                <w:b/>
                <w:color w:val="auto"/>
                <w:kern w:val="0"/>
                <w:sz w:val="31"/>
                <w:szCs w:val="31"/>
                <w:highlight w:val="none"/>
                <w:vertAlign w:val="baseline"/>
                <w:lang w:val="en-US" w:eastAsia="zh-CN" w:bidi="ar"/>
              </w:rPr>
            </w:pPr>
            <w:r>
              <w:rPr>
                <w:rFonts w:hint="eastAsia" w:ascii="宋体" w:hAnsi="宋体" w:eastAsia="宋体" w:cs="宋体"/>
                <w:color w:val="auto"/>
                <w:kern w:val="0"/>
                <w:sz w:val="22"/>
                <w:szCs w:val="22"/>
                <w:highlight w:val="none"/>
                <w:lang w:val="en-US" w:eastAsia="zh-CN" w:bidi="ar"/>
              </w:rPr>
              <w:t>持有绿色债券余额及折合减排情况</w:t>
            </w:r>
          </w:p>
        </w:tc>
        <w:tc>
          <w:tcPr>
            <w:tcW w:w="3247" w:type="dxa"/>
            <w:vAlign w:val="center"/>
          </w:tcPr>
          <w:p>
            <w:pPr>
              <w:keepNext w:val="0"/>
              <w:keepLines w:val="0"/>
              <w:pageBreakBefore w:val="0"/>
              <w:widowControl/>
              <w:suppressLineNumbers w:val="0"/>
              <w:kinsoku/>
              <w:wordWrap/>
              <w:overflowPunct/>
              <w:topLinePunct w:val="0"/>
              <w:autoSpaceDE/>
              <w:bidi w:val="0"/>
              <w:snapToGrid/>
              <w:spacing w:line="240" w:lineRule="auto"/>
              <w:jc w:val="left"/>
              <w:rPr>
                <w:rFonts w:hint="eastAsia" w:ascii="仿宋_GB2312" w:hAnsi="宋体" w:eastAsia="仿宋_GB2312" w:cs="仿宋_GB2312"/>
                <w:b/>
                <w:color w:val="auto"/>
                <w:kern w:val="0"/>
                <w:sz w:val="31"/>
                <w:szCs w:val="31"/>
                <w:highlight w:val="none"/>
                <w:vertAlign w:val="baseline"/>
                <w:lang w:val="en-US" w:eastAsia="zh-CN" w:bidi="ar"/>
              </w:rPr>
            </w:pPr>
            <w:r>
              <w:rPr>
                <w:rFonts w:hint="eastAsia" w:ascii="宋体" w:hAnsi="宋体" w:eastAsia="宋体" w:cs="宋体"/>
                <w:color w:val="auto"/>
                <w:kern w:val="0"/>
                <w:sz w:val="22"/>
                <w:szCs w:val="22"/>
                <w:highlight w:val="none"/>
                <w:lang w:val="en-US" w:eastAsia="zh-CN" w:bidi="ar"/>
              </w:rPr>
              <w:t>持有绿色债券余额及折合减排情况</w:t>
            </w:r>
          </w:p>
        </w:tc>
        <w:tc>
          <w:tcPr>
            <w:tcW w:w="2219" w:type="dxa"/>
            <w:vAlign w:val="center"/>
          </w:tcPr>
          <w:p>
            <w:pPr>
              <w:pStyle w:val="9"/>
              <w:keepNext w:val="0"/>
              <w:keepLines w:val="0"/>
              <w:pageBreakBefore w:val="0"/>
              <w:kinsoku/>
              <w:wordWrap/>
              <w:overflowPunct/>
              <w:topLinePunct w:val="0"/>
              <w:autoSpaceDE/>
              <w:bidi w:val="0"/>
              <w:snapToGrid/>
              <w:spacing w:line="240" w:lineRule="auto"/>
              <w:jc w:val="both"/>
              <w:rPr>
                <w:rFonts w:hint="default" w:ascii="仿宋_GB2312" w:hAnsi="宋体" w:eastAsia="仿宋_GB2312" w:cs="仿宋_GB2312"/>
                <w:b/>
                <w:color w:val="auto"/>
                <w:kern w:val="0"/>
                <w:sz w:val="31"/>
                <w:szCs w:val="31"/>
                <w:highlight w:val="none"/>
                <w:vertAlign w:val="baseline"/>
                <w:lang w:val="en-US" w:eastAsia="zh-CN" w:bidi="ar"/>
              </w:rPr>
            </w:pPr>
            <w:r>
              <w:rPr>
                <w:rFonts w:hint="eastAsia" w:ascii="仿宋_GB2312" w:hAnsi="宋体" w:cs="仿宋_GB2312"/>
                <w:b/>
                <w:color w:val="auto"/>
                <w:kern w:val="0"/>
                <w:sz w:val="31"/>
                <w:szCs w:val="31"/>
                <w:highlight w:val="none"/>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7" w:type="dxa"/>
            <w:vMerge w:val="continue"/>
          </w:tcPr>
          <w:p>
            <w:pPr>
              <w:pStyle w:val="9"/>
              <w:keepNext w:val="0"/>
              <w:keepLines w:val="0"/>
              <w:pageBreakBefore w:val="0"/>
              <w:kinsoku/>
              <w:wordWrap/>
              <w:overflowPunct/>
              <w:topLinePunct w:val="0"/>
              <w:autoSpaceDE/>
              <w:bidi w:val="0"/>
              <w:snapToGrid/>
              <w:spacing w:line="240" w:lineRule="auto"/>
              <w:rPr>
                <w:rFonts w:hint="eastAsia" w:ascii="仿宋_GB2312" w:hAnsi="宋体" w:eastAsia="仿宋_GB2312" w:cs="仿宋_GB2312"/>
                <w:b/>
                <w:color w:val="auto"/>
                <w:kern w:val="0"/>
                <w:sz w:val="31"/>
                <w:szCs w:val="31"/>
                <w:highlight w:val="none"/>
                <w:vertAlign w:val="baseline"/>
                <w:lang w:val="en-US" w:eastAsia="zh-CN" w:bidi="ar"/>
              </w:rPr>
            </w:pPr>
          </w:p>
        </w:tc>
        <w:tc>
          <w:tcPr>
            <w:tcW w:w="3247" w:type="dxa"/>
            <w:vAlign w:val="center"/>
          </w:tcPr>
          <w:p>
            <w:pPr>
              <w:pStyle w:val="9"/>
              <w:keepNext w:val="0"/>
              <w:keepLines w:val="0"/>
              <w:pageBreakBefore w:val="0"/>
              <w:kinsoku/>
              <w:wordWrap/>
              <w:overflowPunct/>
              <w:topLinePunct w:val="0"/>
              <w:autoSpaceDE/>
              <w:bidi w:val="0"/>
              <w:snapToGrid/>
              <w:spacing w:line="240" w:lineRule="auto"/>
              <w:ind w:left="0" w:leftChars="0" w:firstLine="0" w:firstLineChars="0"/>
              <w:jc w:val="both"/>
              <w:rPr>
                <w:rFonts w:hint="eastAsia" w:ascii="仿宋_GB2312" w:hAnsi="宋体" w:eastAsia="仿宋_GB2312" w:cs="仿宋_GB2312"/>
                <w:b/>
                <w:color w:val="auto"/>
                <w:kern w:val="0"/>
                <w:sz w:val="31"/>
                <w:szCs w:val="31"/>
                <w:highlight w:val="none"/>
                <w:vertAlign w:val="baseline"/>
                <w:lang w:val="en-US" w:eastAsia="zh-CN" w:bidi="ar"/>
              </w:rPr>
            </w:pPr>
            <w:r>
              <w:rPr>
                <w:rFonts w:hint="eastAsia" w:ascii="宋体" w:hAnsi="宋体" w:eastAsia="宋体" w:cs="宋体"/>
                <w:color w:val="auto"/>
                <w:kern w:val="0"/>
                <w:sz w:val="22"/>
                <w:szCs w:val="22"/>
                <w:highlight w:val="none"/>
                <w:lang w:val="en-US" w:eastAsia="zh-CN" w:bidi="ar"/>
              </w:rPr>
              <w:t>折合减排二氧化碳当量（吨）</w:t>
            </w:r>
          </w:p>
        </w:tc>
        <w:tc>
          <w:tcPr>
            <w:tcW w:w="2219" w:type="dxa"/>
            <w:vAlign w:val="center"/>
          </w:tcPr>
          <w:p>
            <w:pPr>
              <w:pStyle w:val="9"/>
              <w:keepNext w:val="0"/>
              <w:keepLines w:val="0"/>
              <w:pageBreakBefore w:val="0"/>
              <w:kinsoku/>
              <w:wordWrap/>
              <w:overflowPunct/>
              <w:topLinePunct w:val="0"/>
              <w:autoSpaceDE/>
              <w:bidi w:val="0"/>
              <w:snapToGrid/>
              <w:spacing w:line="240" w:lineRule="auto"/>
              <w:jc w:val="both"/>
              <w:rPr>
                <w:rFonts w:hint="default" w:ascii="仿宋_GB2312" w:hAnsi="宋体" w:eastAsia="仿宋_GB2312" w:cs="仿宋_GB2312"/>
                <w:b/>
                <w:color w:val="auto"/>
                <w:kern w:val="0"/>
                <w:sz w:val="31"/>
                <w:szCs w:val="31"/>
                <w:highlight w:val="none"/>
                <w:vertAlign w:val="baseline"/>
                <w:lang w:val="en-US" w:eastAsia="zh-CN" w:bidi="ar"/>
              </w:rPr>
            </w:pPr>
            <w:r>
              <w:rPr>
                <w:rFonts w:hint="eastAsia" w:ascii="仿宋_GB2312" w:hAnsi="宋体" w:cs="仿宋_GB2312"/>
                <w:b/>
                <w:color w:val="auto"/>
                <w:kern w:val="0"/>
                <w:sz w:val="31"/>
                <w:szCs w:val="31"/>
                <w:highlight w:val="none"/>
                <w:vertAlign w:val="baseline"/>
                <w:lang w:val="en-US" w:eastAsia="zh-CN" w:bidi="ar"/>
              </w:rPr>
              <w:t>0</w:t>
            </w:r>
          </w:p>
        </w:tc>
      </w:tr>
    </w:tbl>
    <w:p>
      <w:pPr>
        <w:keepNext w:val="0"/>
        <w:keepLines w:val="0"/>
        <w:pageBreakBefore w:val="0"/>
        <w:kinsoku/>
        <w:wordWrap/>
        <w:overflowPunct/>
        <w:topLinePunct w:val="0"/>
        <w:autoSpaceDE/>
        <w:bidi w:val="0"/>
        <w:snapToGrid/>
        <w:spacing w:line="240" w:lineRule="auto"/>
        <w:rPr>
          <w:rFonts w:hint="eastAsia" w:ascii="仿宋_GB2312" w:hAnsi="宋体" w:eastAsia="仿宋_GB2312" w:cs="仿宋_GB2312"/>
          <w:b/>
          <w:color w:val="auto"/>
          <w:kern w:val="0"/>
          <w:sz w:val="31"/>
          <w:szCs w:val="31"/>
          <w:highlight w:val="none"/>
          <w:lang w:val="en-US" w:eastAsia="zh-CN" w:bidi="ar"/>
        </w:rPr>
      </w:pP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宋体" w:eastAsia="黑体" w:cs="黑体"/>
          <w:color w:val="auto"/>
          <w:kern w:val="0"/>
          <w:sz w:val="32"/>
          <w:szCs w:val="32"/>
          <w:highlight w:val="none"/>
          <w:lang w:val="en-US" w:eastAsia="zh-CN" w:bidi="ar"/>
        </w:rPr>
      </w:pPr>
      <w:bookmarkStart w:id="35" w:name="_Toc25476_WPSOffice_Level1"/>
      <w:r>
        <w:rPr>
          <w:rFonts w:hint="eastAsia" w:ascii="黑体" w:hAnsi="宋体" w:eastAsia="黑体" w:cs="黑体"/>
          <w:color w:val="auto"/>
          <w:kern w:val="0"/>
          <w:sz w:val="32"/>
          <w:szCs w:val="32"/>
          <w:highlight w:val="none"/>
          <w:lang w:val="en-US" w:eastAsia="zh-CN" w:bidi="ar"/>
        </w:rPr>
        <w:t>未来展望</w:t>
      </w:r>
      <w:bookmarkEnd w:id="35"/>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20" w:firstLineChars="200"/>
        <w:jc w:val="left"/>
        <w:textAlignment w:val="auto"/>
        <w:rPr>
          <w:rFonts w:hint="eastAsia" w:eastAsia="仿宋_GB2312"/>
          <w:color w:val="auto"/>
          <w:highlight w:val="none"/>
          <w:lang w:eastAsia="zh-CN"/>
        </w:rPr>
      </w:pPr>
      <w:r>
        <w:rPr>
          <w:rFonts w:hint="eastAsia" w:ascii="仿宋_GB2312" w:hAnsi="宋体" w:eastAsia="仿宋_GB2312" w:cs="仿宋_GB2312"/>
          <w:color w:val="auto"/>
          <w:kern w:val="0"/>
          <w:sz w:val="31"/>
          <w:szCs w:val="31"/>
          <w:highlight w:val="none"/>
          <w:lang w:val="en-US" w:eastAsia="zh-CN" w:bidi="ar"/>
        </w:rPr>
        <w:t>绿色发展是高质量发展的底色，绿色金融是助力乡村振兴的根本。依托周宁县拥有丰富的森林资源和优美的生态环境，本社将持续贯彻绿色金融发展战略，将绿色发展理念贯穿到业务经营发展各环节，聚焦深入推进乡村振兴战略，做好绿色金融文章，全力推进绿色银行创建工作，以绿色金融创新促进周宁县绿色金融高质量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22" w:firstLineChars="200"/>
        <w:jc w:val="left"/>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b/>
          <w:color w:val="auto"/>
          <w:kern w:val="0"/>
          <w:sz w:val="31"/>
          <w:szCs w:val="31"/>
          <w:highlight w:val="none"/>
          <w:lang w:val="en-US" w:eastAsia="zh-CN" w:bidi="ar"/>
        </w:rPr>
        <w:t>（一）加强宣导，提高全员意识。</w:t>
      </w:r>
      <w:r>
        <w:rPr>
          <w:rFonts w:hint="eastAsia" w:ascii="仿宋_GB2312" w:hAnsi="宋体" w:eastAsia="仿宋_GB2312" w:cs="仿宋_GB2312"/>
          <w:color w:val="auto"/>
          <w:kern w:val="0"/>
          <w:sz w:val="31"/>
          <w:szCs w:val="31"/>
          <w:highlight w:val="none"/>
          <w:lang w:val="en-US" w:eastAsia="zh-CN" w:bidi="ar"/>
        </w:rPr>
        <w:t>响应号召，积极承担社会责任，将绿色发展理念贯穿经营各个环节及未来发展计划中，主动披露金融环境信息报告，在兼顾自身经营效益和安全经营前提下，追求更高质量的绿色发展；同时，加强与企业的合作，引导企业向绿色发展，建立绿色认证企业清单，完善绿色企业差异化定价机制，为推动企业绿色发展提供动力，实现银行与企业之间的合作共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22" w:firstLineChars="200"/>
        <w:jc w:val="left"/>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b/>
          <w:color w:val="auto"/>
          <w:kern w:val="0"/>
          <w:sz w:val="31"/>
          <w:szCs w:val="31"/>
          <w:highlight w:val="none"/>
          <w:lang w:val="en-US" w:eastAsia="zh-CN" w:bidi="ar"/>
        </w:rPr>
        <w:t>(二)完善机制，加强组织保障。</w:t>
      </w:r>
      <w:r>
        <w:rPr>
          <w:rFonts w:hint="eastAsia" w:ascii="仿宋_GB2312" w:hAnsi="宋体" w:eastAsia="仿宋_GB2312" w:cs="仿宋_GB2312"/>
          <w:color w:val="auto"/>
          <w:kern w:val="0"/>
          <w:sz w:val="31"/>
          <w:szCs w:val="31"/>
          <w:highlight w:val="none"/>
          <w:lang w:val="en-US" w:eastAsia="zh-CN" w:bidi="ar"/>
        </w:rPr>
        <w:t>一是完善组织架构，强化绿色金融团队力量，加强人员保障与技术保障；二是完善制度体系，细化工作机制与流程，加快实现全流程绿色信贷机制；三是完善人才体系，遴选专业人才，加大绿色重点人才培养，提升绿色专业化服务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22" w:firstLineChars="200"/>
        <w:jc w:val="left"/>
        <w:textAlignment w:val="auto"/>
        <w:rPr>
          <w:rFonts w:hint="eastAsia" w:eastAsia="仿宋_GB2312"/>
          <w:color w:val="auto"/>
          <w:highlight w:val="none"/>
          <w:lang w:eastAsia="zh-CN"/>
        </w:rPr>
      </w:pPr>
      <w:r>
        <w:rPr>
          <w:rFonts w:hint="eastAsia" w:ascii="仿宋_GB2312" w:hAnsi="宋体" w:eastAsia="仿宋_GB2312" w:cs="仿宋_GB2312"/>
          <w:b/>
          <w:color w:val="auto"/>
          <w:kern w:val="0"/>
          <w:sz w:val="31"/>
          <w:szCs w:val="31"/>
          <w:highlight w:val="none"/>
          <w:lang w:val="en-US" w:eastAsia="zh-CN" w:bidi="ar"/>
        </w:rPr>
        <w:t>（三）加强创新，提升服务能力。</w:t>
      </w:r>
      <w:r>
        <w:rPr>
          <w:rFonts w:hint="eastAsia" w:ascii="仿宋_GB2312" w:hAnsi="宋体" w:eastAsia="仿宋_GB2312" w:cs="仿宋_GB2312"/>
          <w:color w:val="auto"/>
          <w:kern w:val="0"/>
          <w:sz w:val="31"/>
          <w:szCs w:val="31"/>
          <w:highlight w:val="none"/>
          <w:lang w:val="en-US" w:eastAsia="zh-CN" w:bidi="ar"/>
        </w:rPr>
        <w:t>一是优化存量产品，对存量绿色产品开展后评估机制，加强企业和基础一线调研和考察，适时优化信贷产品；二是加大创新力度。在现有</w:t>
      </w:r>
      <w:r>
        <w:rPr>
          <w:rFonts w:hint="eastAsia" w:ascii="仿宋" w:hAnsi="仿宋" w:eastAsia="仿宋" w:cs="仿宋"/>
          <w:color w:val="auto"/>
          <w:kern w:val="0"/>
          <w:sz w:val="31"/>
          <w:szCs w:val="31"/>
          <w:highlight w:val="none"/>
          <w:lang w:val="en-US" w:eastAsia="zh-CN" w:bidi="ar"/>
        </w:rPr>
        <w:t>“</w:t>
      </w:r>
      <w:r>
        <w:rPr>
          <w:rFonts w:hint="eastAsia" w:ascii="仿宋_GB2312" w:hAnsi="宋体" w:eastAsia="仿宋_GB2312" w:cs="仿宋_GB2312"/>
          <w:color w:val="auto"/>
          <w:kern w:val="0"/>
          <w:sz w:val="31"/>
          <w:szCs w:val="31"/>
          <w:highlight w:val="none"/>
          <w:lang w:val="en-US" w:eastAsia="zh-CN" w:bidi="ar"/>
        </w:rPr>
        <w:t>林e贷</w:t>
      </w:r>
      <w:r>
        <w:rPr>
          <w:rFonts w:hint="eastAsia" w:ascii="仿宋" w:hAnsi="仿宋" w:eastAsia="仿宋" w:cs="仿宋"/>
          <w:color w:val="auto"/>
          <w:kern w:val="0"/>
          <w:sz w:val="31"/>
          <w:szCs w:val="31"/>
          <w:highlight w:val="none"/>
          <w:lang w:val="en-US" w:eastAsia="zh-CN" w:bidi="ar"/>
        </w:rPr>
        <w:t>”</w:t>
      </w:r>
      <w:r>
        <w:rPr>
          <w:rFonts w:hint="eastAsia" w:ascii="仿宋_GB2312" w:hAnsi="宋体" w:eastAsia="仿宋_GB2312" w:cs="仿宋_GB2312"/>
          <w:color w:val="auto"/>
          <w:kern w:val="0"/>
          <w:sz w:val="31"/>
          <w:szCs w:val="31"/>
          <w:highlight w:val="none"/>
          <w:lang w:val="en-US" w:eastAsia="zh-CN" w:bidi="ar"/>
        </w:rPr>
        <w:t>等绿色信贷产品基础上，进一步探索创新</w:t>
      </w:r>
      <w:r>
        <w:rPr>
          <w:rFonts w:hint="eastAsia" w:ascii="仿宋" w:hAnsi="仿宋" w:eastAsia="仿宋" w:cs="仿宋"/>
          <w:color w:val="auto"/>
          <w:kern w:val="0"/>
          <w:sz w:val="31"/>
          <w:szCs w:val="31"/>
          <w:highlight w:val="none"/>
          <w:lang w:val="en-US" w:eastAsia="zh-CN" w:bidi="ar"/>
        </w:rPr>
        <w:t>“</w:t>
      </w:r>
      <w:r>
        <w:rPr>
          <w:rFonts w:hint="eastAsia" w:ascii="仿宋_GB2312" w:hAnsi="宋体" w:eastAsia="仿宋_GB2312" w:cs="仿宋_GB2312"/>
          <w:color w:val="auto"/>
          <w:kern w:val="0"/>
          <w:sz w:val="31"/>
          <w:szCs w:val="31"/>
          <w:highlight w:val="none"/>
          <w:lang w:val="en-US" w:eastAsia="zh-CN" w:bidi="ar"/>
        </w:rPr>
        <w:t>政策+产品+客户</w:t>
      </w:r>
      <w:r>
        <w:rPr>
          <w:rFonts w:hint="eastAsia" w:ascii="仿宋" w:hAnsi="仿宋" w:eastAsia="仿宋" w:cs="仿宋"/>
          <w:color w:val="auto"/>
          <w:kern w:val="0"/>
          <w:sz w:val="31"/>
          <w:szCs w:val="31"/>
          <w:highlight w:val="none"/>
          <w:lang w:val="en-US" w:eastAsia="zh-CN" w:bidi="ar"/>
        </w:rPr>
        <w:t>”</w:t>
      </w:r>
      <w:r>
        <w:rPr>
          <w:rFonts w:hint="eastAsia" w:ascii="仿宋_GB2312" w:hAnsi="宋体" w:eastAsia="仿宋_GB2312" w:cs="仿宋_GB2312"/>
          <w:color w:val="auto"/>
          <w:kern w:val="0"/>
          <w:sz w:val="31"/>
          <w:szCs w:val="31"/>
          <w:highlight w:val="none"/>
          <w:lang w:val="en-US" w:eastAsia="zh-CN" w:bidi="ar"/>
        </w:rPr>
        <w:t>产品模式，丰富多元化绿色金融产品。三是强化科技赋能。加强与林业、自然资源局等部门沟通协调，推进林业要素自评估、碳积分试算、直连抵押，实现批量式、一站式、线上化林业金融服务。</w:t>
      </w:r>
    </w:p>
    <w:p>
      <w:pPr>
        <w:keepNext w:val="0"/>
        <w:keepLines w:val="0"/>
        <w:widowControl/>
        <w:suppressLineNumbers w:val="0"/>
        <w:jc w:val="left"/>
        <w:rPr>
          <w:color w:val="auto"/>
          <w:highlight w:val="none"/>
        </w:rPr>
      </w:pPr>
    </w:p>
    <w:p>
      <w:pPr>
        <w:keepNext w:val="0"/>
        <w:keepLines w:val="0"/>
        <w:widowControl/>
        <w:suppressLineNumbers w:val="0"/>
        <w:jc w:val="left"/>
        <w:rPr>
          <w:color w:val="FF000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7E396"/>
    <w:multiLevelType w:val="singleLevel"/>
    <w:tmpl w:val="A187E396"/>
    <w:lvl w:ilvl="0" w:tentative="0">
      <w:start w:val="3"/>
      <w:numFmt w:val="chineseCounting"/>
      <w:lvlText w:val="(%1)"/>
      <w:lvlJc w:val="left"/>
      <w:pPr>
        <w:tabs>
          <w:tab w:val="left" w:pos="312"/>
        </w:tabs>
      </w:pPr>
      <w:rPr>
        <w:rFonts w:hint="eastAsia"/>
      </w:rPr>
    </w:lvl>
  </w:abstractNum>
  <w:abstractNum w:abstractNumId="1">
    <w:nsid w:val="A38B93ED"/>
    <w:multiLevelType w:val="singleLevel"/>
    <w:tmpl w:val="A38B93ED"/>
    <w:lvl w:ilvl="0" w:tentative="0">
      <w:start w:val="1"/>
      <w:numFmt w:val="chineseCounting"/>
      <w:suff w:val="nothing"/>
      <w:lvlText w:val="（%1）"/>
      <w:lvlJc w:val="left"/>
      <w:rPr>
        <w:rFonts w:hint="eastAsia"/>
      </w:rPr>
    </w:lvl>
  </w:abstractNum>
  <w:abstractNum w:abstractNumId="2">
    <w:nsid w:val="D39D9EDE"/>
    <w:multiLevelType w:val="singleLevel"/>
    <w:tmpl w:val="D39D9EDE"/>
    <w:lvl w:ilvl="0" w:tentative="0">
      <w:start w:val="9"/>
      <w:numFmt w:val="chineseCounting"/>
      <w:suff w:val="nothing"/>
      <w:lvlText w:val="%1、"/>
      <w:lvlJc w:val="left"/>
      <w:rPr>
        <w:rFonts w:hint="eastAsia"/>
      </w:rPr>
    </w:lvl>
  </w:abstractNum>
  <w:abstractNum w:abstractNumId="3">
    <w:nsid w:val="D6DF7D4A"/>
    <w:multiLevelType w:val="singleLevel"/>
    <w:tmpl w:val="D6DF7D4A"/>
    <w:lvl w:ilvl="0" w:tentative="0">
      <w:start w:val="8"/>
      <w:numFmt w:val="chineseCounting"/>
      <w:suff w:val="nothing"/>
      <w:lvlText w:val="%1、"/>
      <w:lvlJc w:val="left"/>
      <w:rPr>
        <w:rFonts w:hint="eastAsia"/>
      </w:rPr>
    </w:lvl>
  </w:abstractNum>
  <w:abstractNum w:abstractNumId="4">
    <w:nsid w:val="F0B6291E"/>
    <w:multiLevelType w:val="singleLevel"/>
    <w:tmpl w:val="F0B6291E"/>
    <w:lvl w:ilvl="0" w:tentative="0">
      <w:start w:val="4"/>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YmFiNzk0NzQ4M2RkMGJlOGMzNmVjMDUzZDUzMmYifQ=="/>
    <w:docVar w:name="KSO_WPS_MARK_KEY" w:val="061c598d-3f2d-4ce3-8357-6992cac10a99"/>
  </w:docVars>
  <w:rsids>
    <w:rsidRoot w:val="00172A27"/>
    <w:rsid w:val="008C1EBB"/>
    <w:rsid w:val="00FA4D98"/>
    <w:rsid w:val="040F76D8"/>
    <w:rsid w:val="07667015"/>
    <w:rsid w:val="0A2D2A9A"/>
    <w:rsid w:val="0B140B37"/>
    <w:rsid w:val="0B7D30D1"/>
    <w:rsid w:val="0CA679A6"/>
    <w:rsid w:val="0D7A1AA8"/>
    <w:rsid w:val="0DA96582"/>
    <w:rsid w:val="0DF61300"/>
    <w:rsid w:val="0FF05CD8"/>
    <w:rsid w:val="111807FE"/>
    <w:rsid w:val="114E750A"/>
    <w:rsid w:val="126A2854"/>
    <w:rsid w:val="150107E0"/>
    <w:rsid w:val="15667A2C"/>
    <w:rsid w:val="17390526"/>
    <w:rsid w:val="19C30219"/>
    <w:rsid w:val="1CA108E0"/>
    <w:rsid w:val="1FD776BF"/>
    <w:rsid w:val="20113B3D"/>
    <w:rsid w:val="22A42B0A"/>
    <w:rsid w:val="22EF0D36"/>
    <w:rsid w:val="24BC6E1F"/>
    <w:rsid w:val="25B873A5"/>
    <w:rsid w:val="25F0649B"/>
    <w:rsid w:val="26D805BC"/>
    <w:rsid w:val="2925295C"/>
    <w:rsid w:val="2B4C7F7D"/>
    <w:rsid w:val="2B68067B"/>
    <w:rsid w:val="2BF85F2B"/>
    <w:rsid w:val="2C5B7754"/>
    <w:rsid w:val="2D223DC7"/>
    <w:rsid w:val="2DB761D4"/>
    <w:rsid w:val="2E12034B"/>
    <w:rsid w:val="2EDC1FFD"/>
    <w:rsid w:val="334A1264"/>
    <w:rsid w:val="341F6B2D"/>
    <w:rsid w:val="362C4F22"/>
    <w:rsid w:val="36F25040"/>
    <w:rsid w:val="37570639"/>
    <w:rsid w:val="380050FB"/>
    <w:rsid w:val="38073437"/>
    <w:rsid w:val="38B231AF"/>
    <w:rsid w:val="3ACB274D"/>
    <w:rsid w:val="3B021313"/>
    <w:rsid w:val="3B41648F"/>
    <w:rsid w:val="3CB25416"/>
    <w:rsid w:val="3D085A8A"/>
    <w:rsid w:val="3D9A0481"/>
    <w:rsid w:val="3DF1595A"/>
    <w:rsid w:val="3F8E2C27"/>
    <w:rsid w:val="43B10920"/>
    <w:rsid w:val="43ED747C"/>
    <w:rsid w:val="44687391"/>
    <w:rsid w:val="460E660A"/>
    <w:rsid w:val="475C554F"/>
    <w:rsid w:val="47970B75"/>
    <w:rsid w:val="47DE4722"/>
    <w:rsid w:val="48400B97"/>
    <w:rsid w:val="4B562959"/>
    <w:rsid w:val="4D216709"/>
    <w:rsid w:val="4F5A1A14"/>
    <w:rsid w:val="4FEE0352"/>
    <w:rsid w:val="50B8317E"/>
    <w:rsid w:val="53FF4D85"/>
    <w:rsid w:val="55071C51"/>
    <w:rsid w:val="579E026A"/>
    <w:rsid w:val="597B1F89"/>
    <w:rsid w:val="59CD336C"/>
    <w:rsid w:val="59F61307"/>
    <w:rsid w:val="5A3C212B"/>
    <w:rsid w:val="5BA416E6"/>
    <w:rsid w:val="5BC3729F"/>
    <w:rsid w:val="5C3449F3"/>
    <w:rsid w:val="5F7555D6"/>
    <w:rsid w:val="5F984B0C"/>
    <w:rsid w:val="5FBE7BC0"/>
    <w:rsid w:val="60252858"/>
    <w:rsid w:val="61ED6177"/>
    <w:rsid w:val="624D7956"/>
    <w:rsid w:val="64994839"/>
    <w:rsid w:val="64AE57D3"/>
    <w:rsid w:val="66AD2ECF"/>
    <w:rsid w:val="66E66CB9"/>
    <w:rsid w:val="688C085D"/>
    <w:rsid w:val="693B1492"/>
    <w:rsid w:val="69B03BEA"/>
    <w:rsid w:val="69EC5FFD"/>
    <w:rsid w:val="6BE40835"/>
    <w:rsid w:val="6CAC00AB"/>
    <w:rsid w:val="6ED6247D"/>
    <w:rsid w:val="6F405660"/>
    <w:rsid w:val="707B5710"/>
    <w:rsid w:val="70F265F9"/>
    <w:rsid w:val="72F031F8"/>
    <w:rsid w:val="74E43CA8"/>
    <w:rsid w:val="76045388"/>
    <w:rsid w:val="764135B9"/>
    <w:rsid w:val="78B12812"/>
    <w:rsid w:val="78C0600C"/>
    <w:rsid w:val="7BD81D81"/>
    <w:rsid w:val="7D8E625C"/>
    <w:rsid w:val="7EF5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Normal Indent"/>
    <w:basedOn w:val="1"/>
    <w:next w:val="1"/>
    <w:qFormat/>
    <w:uiPriority w:val="0"/>
    <w:pPr>
      <w:ind w:firstLine="420" w:firstLineChars="200"/>
    </w:pPr>
    <w:rPr>
      <w:rFonts w:ascii="Times New Roman" w:hAnsi="Times New Roman" w:eastAsia="仿宋_GB2312" w:cs="Times New Roman"/>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Text1I2"/>
    <w:basedOn w:val="10"/>
    <w:next w:val="1"/>
    <w:qFormat/>
    <w:uiPriority w:val="0"/>
    <w:pPr>
      <w:spacing w:line="560" w:lineRule="exact"/>
      <w:ind w:left="0" w:leftChars="0" w:firstLine="420" w:firstLineChars="200"/>
      <w:jc w:val="both"/>
      <w:textAlignment w:val="baseline"/>
    </w:pPr>
    <w:rPr>
      <w:rFonts w:ascii="Arial" w:hAnsi="Arial" w:eastAsia="仿宋_GB2312" w:cs="Arial"/>
      <w:snapToGrid w:val="0"/>
      <w:color w:val="000000"/>
      <w:kern w:val="0"/>
      <w:sz w:val="32"/>
      <w:szCs w:val="21"/>
    </w:rPr>
  </w:style>
  <w:style w:type="paragraph" w:customStyle="1" w:styleId="10">
    <w:name w:val="BodyTextIndent"/>
    <w:basedOn w:val="1"/>
    <w:qFormat/>
    <w:uiPriority w:val="0"/>
    <w:pPr>
      <w:spacing w:after="120" w:line="240" w:lineRule="auto"/>
      <w:ind w:left="420" w:leftChars="200"/>
      <w:jc w:val="both"/>
      <w:textAlignment w:val="baseline"/>
    </w:p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Body text|1"/>
    <w:basedOn w:val="1"/>
    <w:qFormat/>
    <w:uiPriority w:val="0"/>
    <w:pPr>
      <w:spacing w:line="420" w:lineRule="auto"/>
      <w:ind w:firstLine="400"/>
      <w:jc w:val="left"/>
    </w:pPr>
    <w:rPr>
      <w:rFonts w:ascii="宋体" w:hAnsi="宋体" w:eastAsia="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0d40a15-bd78-4fb8-94a2-65a97c7b388c}"/>
        <w:style w:val=""/>
        <w:category>
          <w:name w:val="常规"/>
          <w:gallery w:val="placeholder"/>
        </w:category>
        <w:types>
          <w:type w:val="bbPlcHdr"/>
        </w:types>
        <w:behaviors>
          <w:behavior w:val="content"/>
        </w:behaviors>
        <w:description w:val=""/>
        <w:guid w:val="{30d40a15-bd78-4fb8-94a2-65a97c7b388c}"/>
      </w:docPartPr>
      <w:docPartBody>
        <w:p>
          <w:r>
            <w:rPr>
              <w:color w:val="808080"/>
            </w:rPr>
            <w:t>单击此处输入文字。</w:t>
          </w:r>
        </w:p>
      </w:docPartBody>
    </w:docPart>
    <w:docPart>
      <w:docPartPr>
        <w:name w:val="{9a0dc8aa-4422-4129-a053-21aa6e59bc4b}"/>
        <w:style w:val=""/>
        <w:category>
          <w:name w:val="常规"/>
          <w:gallery w:val="placeholder"/>
        </w:category>
        <w:types>
          <w:type w:val="bbPlcHdr"/>
        </w:types>
        <w:behaviors>
          <w:behavior w:val="content"/>
        </w:behaviors>
        <w:description w:val=""/>
        <w:guid w:val="{9a0dc8aa-4422-4129-a053-21aa6e59bc4b}"/>
      </w:docPartPr>
      <w:docPartBody>
        <w:p>
          <w:r>
            <w:rPr>
              <w:color w:val="808080"/>
            </w:rPr>
            <w:t>单击此处输入文字。</w:t>
          </w:r>
        </w:p>
      </w:docPartBody>
    </w:docPart>
    <w:docPart>
      <w:docPartPr>
        <w:name w:val="{dad80e51-1b85-46ad-9133-32eb6156a9fe}"/>
        <w:style w:val=""/>
        <w:category>
          <w:name w:val="常规"/>
          <w:gallery w:val="placeholder"/>
        </w:category>
        <w:types>
          <w:type w:val="bbPlcHdr"/>
        </w:types>
        <w:behaviors>
          <w:behavior w:val="content"/>
        </w:behaviors>
        <w:description w:val=""/>
        <w:guid w:val="{dad80e51-1b85-46ad-9133-32eb6156a9fe}"/>
      </w:docPartPr>
      <w:docPartBody>
        <w:p>
          <w:r>
            <w:rPr>
              <w:color w:val="808080"/>
            </w:rPr>
            <w:t>单击此处输入文字。</w:t>
          </w:r>
        </w:p>
      </w:docPartBody>
    </w:docPart>
    <w:docPart>
      <w:docPartPr>
        <w:name w:val="{8755d761-618f-4ac3-a988-25a68d15869c}"/>
        <w:style w:val=""/>
        <w:category>
          <w:name w:val="常规"/>
          <w:gallery w:val="placeholder"/>
        </w:category>
        <w:types>
          <w:type w:val="bbPlcHdr"/>
        </w:types>
        <w:behaviors>
          <w:behavior w:val="content"/>
        </w:behaviors>
        <w:description w:val=""/>
        <w:guid w:val="{8755d761-618f-4ac3-a988-25a68d15869c}"/>
      </w:docPartPr>
      <w:docPartBody>
        <w:p>
          <w:r>
            <w:rPr>
              <w:color w:val="808080"/>
            </w:rPr>
            <w:t>单击此处输入文字。</w:t>
          </w:r>
        </w:p>
      </w:docPartBody>
    </w:docPart>
    <w:docPart>
      <w:docPartPr>
        <w:name w:val="{e4903f54-9bb8-49a6-875a-8b8f640f6c29}"/>
        <w:style w:val=""/>
        <w:category>
          <w:name w:val="常规"/>
          <w:gallery w:val="placeholder"/>
        </w:category>
        <w:types>
          <w:type w:val="bbPlcHdr"/>
        </w:types>
        <w:behaviors>
          <w:behavior w:val="content"/>
        </w:behaviors>
        <w:description w:val=""/>
        <w:guid w:val="{e4903f54-9bb8-49a6-875a-8b8f640f6c29}"/>
      </w:docPartPr>
      <w:docPartBody>
        <w:p>
          <w:r>
            <w:rPr>
              <w:color w:val="808080"/>
            </w:rPr>
            <w:t>单击此处输入文字。</w:t>
          </w:r>
        </w:p>
      </w:docPartBody>
    </w:docPart>
    <w:docPart>
      <w:docPartPr>
        <w:name w:val="{f81ea27e-61c0-4ac5-b907-bf866b908637}"/>
        <w:style w:val=""/>
        <w:category>
          <w:name w:val="常规"/>
          <w:gallery w:val="placeholder"/>
        </w:category>
        <w:types>
          <w:type w:val="bbPlcHdr"/>
        </w:types>
        <w:behaviors>
          <w:behavior w:val="content"/>
        </w:behaviors>
        <w:description w:val=""/>
        <w:guid w:val="{f81ea27e-61c0-4ac5-b907-bf866b908637}"/>
      </w:docPartPr>
      <w:docPartBody>
        <w:p>
          <w:r>
            <w:rPr>
              <w:color w:val="808080"/>
            </w:rPr>
            <w:t>单击此处输入文字。</w:t>
          </w:r>
        </w:p>
      </w:docPartBody>
    </w:docPart>
    <w:docPart>
      <w:docPartPr>
        <w:name w:val="{ad826c7a-7a59-47e6-81e3-22700a2c08f8}"/>
        <w:style w:val=""/>
        <w:category>
          <w:name w:val="常规"/>
          <w:gallery w:val="placeholder"/>
        </w:category>
        <w:types>
          <w:type w:val="bbPlcHdr"/>
        </w:types>
        <w:behaviors>
          <w:behavior w:val="content"/>
        </w:behaviors>
        <w:description w:val=""/>
        <w:guid w:val="{ad826c7a-7a59-47e6-81e3-22700a2c08f8}"/>
      </w:docPartPr>
      <w:docPartBody>
        <w:p>
          <w:r>
            <w:rPr>
              <w:color w:val="808080"/>
            </w:rPr>
            <w:t>单击此处输入文字。</w:t>
          </w:r>
        </w:p>
      </w:docPartBody>
    </w:docPart>
    <w:docPart>
      <w:docPartPr>
        <w:name w:val="{ad5a5264-deb4-4aee-aed0-6db89f43b9ad}"/>
        <w:style w:val=""/>
        <w:category>
          <w:name w:val="常规"/>
          <w:gallery w:val="placeholder"/>
        </w:category>
        <w:types>
          <w:type w:val="bbPlcHdr"/>
        </w:types>
        <w:behaviors>
          <w:behavior w:val="content"/>
        </w:behaviors>
        <w:description w:val=""/>
        <w:guid w:val="{ad5a5264-deb4-4aee-aed0-6db89f43b9ad}"/>
      </w:docPartPr>
      <w:docPartBody>
        <w:p>
          <w:r>
            <w:rPr>
              <w:color w:val="808080"/>
            </w:rPr>
            <w:t>单击此处输入文字。</w:t>
          </w:r>
        </w:p>
      </w:docPartBody>
    </w:docPart>
    <w:docPart>
      <w:docPartPr>
        <w:name w:val="{bb9191ff-6598-4f5a-adda-e46fcd091012}"/>
        <w:style w:val=""/>
        <w:category>
          <w:name w:val="常规"/>
          <w:gallery w:val="placeholder"/>
        </w:category>
        <w:types>
          <w:type w:val="bbPlcHdr"/>
        </w:types>
        <w:behaviors>
          <w:behavior w:val="content"/>
        </w:behaviors>
        <w:description w:val=""/>
        <w:guid w:val="{bb9191ff-6598-4f5a-adda-e46fcd091012}"/>
      </w:docPartPr>
      <w:docPartBody>
        <w:p>
          <w:r>
            <w:rPr>
              <w:color w:val="808080"/>
            </w:rPr>
            <w:t>单击此处输入文字。</w:t>
          </w:r>
        </w:p>
      </w:docPartBody>
    </w:docPart>
    <w:docPart>
      <w:docPartPr>
        <w:name w:val="{272ac49a-f2ec-40c0-a264-5ff4cf90ab50}"/>
        <w:style w:val=""/>
        <w:category>
          <w:name w:val="常规"/>
          <w:gallery w:val="placeholder"/>
        </w:category>
        <w:types>
          <w:type w:val="bbPlcHdr"/>
        </w:types>
        <w:behaviors>
          <w:behavior w:val="content"/>
        </w:behaviors>
        <w:description w:val=""/>
        <w:guid w:val="{272ac49a-f2ec-40c0-a264-5ff4cf90ab50}"/>
      </w:docPartPr>
      <w:docPartBody>
        <w:p>
          <w:r>
            <w:rPr>
              <w:color w:val="808080"/>
            </w:rPr>
            <w:t>单击此处输入文字。</w:t>
          </w:r>
        </w:p>
      </w:docPartBody>
    </w:docPart>
    <w:docPart>
      <w:docPartPr>
        <w:name w:val="{958b9e60-a6a2-45ef-bfb9-92c550855d8a}"/>
        <w:style w:val=""/>
        <w:category>
          <w:name w:val="常规"/>
          <w:gallery w:val="placeholder"/>
        </w:category>
        <w:types>
          <w:type w:val="bbPlcHdr"/>
        </w:types>
        <w:behaviors>
          <w:behavior w:val="content"/>
        </w:behaviors>
        <w:description w:val=""/>
        <w:guid w:val="{958b9e60-a6a2-45ef-bfb9-92c550855d8a}"/>
      </w:docPartPr>
      <w:docPartBody>
        <w:p>
          <w:r>
            <w:rPr>
              <w:color w:val="808080"/>
            </w:rPr>
            <w:t>单击此处输入文字。</w:t>
          </w:r>
        </w:p>
      </w:docPartBody>
    </w:docPart>
    <w:docPart>
      <w:docPartPr>
        <w:name w:val="{5395386e-09dc-4ec2-af7d-9c1a9090e944}"/>
        <w:style w:val=""/>
        <w:category>
          <w:name w:val="常规"/>
          <w:gallery w:val="placeholder"/>
        </w:category>
        <w:types>
          <w:type w:val="bbPlcHdr"/>
        </w:types>
        <w:behaviors>
          <w:behavior w:val="content"/>
        </w:behaviors>
        <w:description w:val=""/>
        <w:guid w:val="{5395386e-09dc-4ec2-af7d-9c1a9090e944}"/>
      </w:docPartPr>
      <w:docPartBody>
        <w:p>
          <w:r>
            <w:rPr>
              <w:color w:val="808080"/>
            </w:rPr>
            <w:t>单击此处输入文字。</w:t>
          </w:r>
        </w:p>
      </w:docPartBody>
    </w:docPart>
    <w:docPart>
      <w:docPartPr>
        <w:name w:val="{960caea0-89b9-431d-85b9-fb28d0ec853e}"/>
        <w:style w:val=""/>
        <w:category>
          <w:name w:val="常规"/>
          <w:gallery w:val="placeholder"/>
        </w:category>
        <w:types>
          <w:type w:val="bbPlcHdr"/>
        </w:types>
        <w:behaviors>
          <w:behavior w:val="content"/>
        </w:behaviors>
        <w:description w:val=""/>
        <w:guid w:val="{960caea0-89b9-431d-85b9-fb28d0ec853e}"/>
      </w:docPartPr>
      <w:docPartBody>
        <w:p>
          <w:r>
            <w:rPr>
              <w:color w:val="808080"/>
            </w:rPr>
            <w:t>单击此处输入文字。</w:t>
          </w:r>
        </w:p>
      </w:docPartBody>
    </w:docPart>
    <w:docPart>
      <w:docPartPr>
        <w:name w:val="{b6a94844-e1a4-4602-a498-5d36ebc7756b}"/>
        <w:style w:val=""/>
        <w:category>
          <w:name w:val="常规"/>
          <w:gallery w:val="placeholder"/>
        </w:category>
        <w:types>
          <w:type w:val="bbPlcHdr"/>
        </w:types>
        <w:behaviors>
          <w:behavior w:val="content"/>
        </w:behaviors>
        <w:description w:val=""/>
        <w:guid w:val="{b6a94844-e1a4-4602-a498-5d36ebc7756b}"/>
      </w:docPartPr>
      <w:docPartBody>
        <w:p>
          <w:r>
            <w:rPr>
              <w:color w:val="808080"/>
            </w:rPr>
            <w:t>单击此处输入文字。</w:t>
          </w:r>
        </w:p>
      </w:docPartBody>
    </w:docPart>
    <w:docPart>
      <w:docPartPr>
        <w:name w:val="{1972413b-f2fb-4151-89bb-939691bcd1e1}"/>
        <w:style w:val=""/>
        <w:category>
          <w:name w:val="常规"/>
          <w:gallery w:val="placeholder"/>
        </w:category>
        <w:types>
          <w:type w:val="bbPlcHdr"/>
        </w:types>
        <w:behaviors>
          <w:behavior w:val="content"/>
        </w:behaviors>
        <w:description w:val=""/>
        <w:guid w:val="{1972413b-f2fb-4151-89bb-939691bcd1e1}"/>
      </w:docPartPr>
      <w:docPartBody>
        <w:p>
          <w:r>
            <w:rPr>
              <w:color w:val="808080"/>
            </w:rPr>
            <w:t>单击此处输入文字。</w:t>
          </w:r>
        </w:p>
      </w:docPartBody>
    </w:docPart>
    <w:docPart>
      <w:docPartPr>
        <w:name w:val="{07439b73-907e-4ba8-bb9d-956fab573329}"/>
        <w:style w:val=""/>
        <w:category>
          <w:name w:val="常规"/>
          <w:gallery w:val="placeholder"/>
        </w:category>
        <w:types>
          <w:type w:val="bbPlcHdr"/>
        </w:types>
        <w:behaviors>
          <w:behavior w:val="content"/>
        </w:behaviors>
        <w:description w:val=""/>
        <w:guid w:val="{07439b73-907e-4ba8-bb9d-956fab573329}"/>
      </w:docPartPr>
      <w:docPartBody>
        <w:p>
          <w:r>
            <w:rPr>
              <w:color w:val="808080"/>
            </w:rPr>
            <w:t>单击此处输入文字。</w:t>
          </w:r>
        </w:p>
      </w:docPartBody>
    </w:docPart>
    <w:docPart>
      <w:docPartPr>
        <w:name w:val="{74b436f2-8045-46eb-9281-1c3ae361c7db}"/>
        <w:style w:val=""/>
        <w:category>
          <w:name w:val="常规"/>
          <w:gallery w:val="placeholder"/>
        </w:category>
        <w:types>
          <w:type w:val="bbPlcHdr"/>
        </w:types>
        <w:behaviors>
          <w:behavior w:val="content"/>
        </w:behaviors>
        <w:description w:val=""/>
        <w:guid w:val="{74b436f2-8045-46eb-9281-1c3ae361c7db}"/>
      </w:docPartPr>
      <w:docPartBody>
        <w:p>
          <w:r>
            <w:rPr>
              <w:color w:val="808080"/>
            </w:rPr>
            <w:t>单击此处输入文字。</w:t>
          </w:r>
        </w:p>
      </w:docPartBody>
    </w:docPart>
    <w:docPart>
      <w:docPartPr>
        <w:name w:val="{eb622609-f079-4e4e-9b96-fab2c52a8b36}"/>
        <w:style w:val=""/>
        <w:category>
          <w:name w:val="常规"/>
          <w:gallery w:val="placeholder"/>
        </w:category>
        <w:types>
          <w:type w:val="bbPlcHdr"/>
        </w:types>
        <w:behaviors>
          <w:behavior w:val="content"/>
        </w:behaviors>
        <w:description w:val=""/>
        <w:guid w:val="{eb622609-f079-4e4e-9b96-fab2c52a8b36}"/>
      </w:docPartPr>
      <w:docPartBody>
        <w:p>
          <w:r>
            <w:rPr>
              <w:color w:val="808080"/>
            </w:rPr>
            <w:t>单击此处输入文字。</w:t>
          </w:r>
        </w:p>
      </w:docPartBody>
    </w:docPart>
    <w:docPart>
      <w:docPartPr>
        <w:name w:val="{4d2a20a7-31ee-4b4d-a111-67b724f7cadd}"/>
        <w:style w:val=""/>
        <w:category>
          <w:name w:val="常规"/>
          <w:gallery w:val="placeholder"/>
        </w:category>
        <w:types>
          <w:type w:val="bbPlcHdr"/>
        </w:types>
        <w:behaviors>
          <w:behavior w:val="content"/>
        </w:behaviors>
        <w:description w:val=""/>
        <w:guid w:val="{4d2a20a7-31ee-4b4d-a111-67b724f7cadd}"/>
      </w:docPartPr>
      <w:docPartBody>
        <w:p>
          <w:r>
            <w:rPr>
              <w:color w:val="808080"/>
            </w:rPr>
            <w:t>单击此处输入文字。</w:t>
          </w:r>
        </w:p>
      </w:docPartBody>
    </w:docPart>
    <w:docPart>
      <w:docPartPr>
        <w:name w:val="{2790dc7e-17ff-4f58-ac80-b1f1284d5302}"/>
        <w:style w:val=""/>
        <w:category>
          <w:name w:val="常规"/>
          <w:gallery w:val="placeholder"/>
        </w:category>
        <w:types>
          <w:type w:val="bbPlcHdr"/>
        </w:types>
        <w:behaviors>
          <w:behavior w:val="content"/>
        </w:behaviors>
        <w:description w:val=""/>
        <w:guid w:val="{2790dc7e-17ff-4f58-ac80-b1f1284d5302}"/>
      </w:docPartPr>
      <w:docPartBody>
        <w:p>
          <w:r>
            <w:rPr>
              <w:color w:val="808080"/>
            </w:rPr>
            <w:t>单击此处输入文字。</w:t>
          </w:r>
        </w:p>
      </w:docPartBody>
    </w:docPart>
    <w:docPart>
      <w:docPartPr>
        <w:name w:val="{0d270a8b-e123-400b-a54c-afae91838541}"/>
        <w:style w:val=""/>
        <w:category>
          <w:name w:val="常规"/>
          <w:gallery w:val="placeholder"/>
        </w:category>
        <w:types>
          <w:type w:val="bbPlcHdr"/>
        </w:types>
        <w:behaviors>
          <w:behavior w:val="content"/>
        </w:behaviors>
        <w:description w:val=""/>
        <w:guid w:val="{0d270a8b-e123-400b-a54c-afae91838541}"/>
      </w:docPartPr>
      <w:docPartBody>
        <w:p>
          <w:r>
            <w:rPr>
              <w:color w:val="808080"/>
            </w:rPr>
            <w:t>单击此处输入文字。</w:t>
          </w:r>
        </w:p>
      </w:docPartBody>
    </w:docPart>
    <w:docPart>
      <w:docPartPr>
        <w:name w:val="{fdd73bb5-45dc-4561-91f9-fcb18110f00c}"/>
        <w:style w:val=""/>
        <w:category>
          <w:name w:val="常规"/>
          <w:gallery w:val="placeholder"/>
        </w:category>
        <w:types>
          <w:type w:val="bbPlcHdr"/>
        </w:types>
        <w:behaviors>
          <w:behavior w:val="content"/>
        </w:behaviors>
        <w:description w:val=""/>
        <w:guid w:val="{fdd73bb5-45dc-4561-91f9-fcb18110f00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5781</Words>
  <Characters>6041</Characters>
  <Lines>0</Lines>
  <Paragraphs>0</Paragraphs>
  <TotalTime>4</TotalTime>
  <ScaleCrop>false</ScaleCrop>
  <LinksUpToDate>false</LinksUpToDate>
  <CharactersWithSpaces>6111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2024-09-14T03:14:00Z</dcterms:created>
  <dc:creator>Administrator</dc:creator>
  <cp:lastModifiedBy>admin</cp:lastModifiedBy>
  <cp:lastPrinted>2024-09-30T04:07:00Z</cp:lastPrinted>
  <dcterms:modified xsi:type="dcterms:W3CDTF">2025-07-30T01:46:47Z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A67C2BD56B4B43EB82D823F4DAD75E45</vt:lpwstr>
  </property>
</Properties>
</file>