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柘荣县农村信用合作联社股份有限公司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2024年度预期信用损失法实施情况报告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本报告旨在对柘荣县农村信用合作联社股份有限公司（以下简称“我社”）预期信用损失法（Expected Credit Loss，ECL）的实施情况进行总结和分析，以便更好地评估我社的风险管理能力和评估贷款组合的信用风险。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一、概述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期信用损失法是指根据历史数据、经济环境和未来预期来计算银行在未来一段时间内可能面临的信用损失。该方法包括三个方面的内容：首先是对未来的信用损失进行预测；其次是对预测结果进行验证和修正；最后是将修正后的预测结果反映到银行的财务报表中。商业银行预期信用损失法的实施可以帮助银行更好地管理信用风险，提高资产质量和盈利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我社根据《柘荣联社实施＜商业银行预期信用损失法实施管理办法＞的方案》及省联社指导方案约每半年更新一次预期信用损失法模型方案相关参数。</w:t>
      </w:r>
      <w:r>
        <w:rPr>
          <w:rFonts w:hint="eastAsia" w:ascii="仿宋_GB2312" w:hAnsi="仿宋_GB2312" w:eastAsia="仿宋_GB2312" w:cs="仿宋_GB2312"/>
          <w:sz w:val="32"/>
          <w:szCs w:val="32"/>
          <w:lang w:val="en-US" w:eastAsia="zh-CN"/>
        </w:rPr>
        <w:t xml:space="preserve">目前基于省联社开发的估值减值测算系统来计量贷款组合的信用风险。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对于预期信用损失(ECL)，采用违约概率/违约损失率模型进行计算。该模型考虑了多种因素，例如产品类型、客户类型、担保品质和经济环境等。也考虑了历史损失数据和未</w:t>
      </w:r>
      <w:r>
        <w:rPr>
          <w:rFonts w:hint="eastAsia" w:ascii="仿宋_GB2312" w:hAnsi="仿宋_GB2312" w:eastAsia="仿宋_GB2312" w:cs="仿宋_GB2312"/>
          <w:sz w:val="32"/>
          <w:szCs w:val="32"/>
          <w:highlight w:val="none"/>
          <w:lang w:val="en-US" w:eastAsia="zh-CN"/>
        </w:rPr>
        <w:t>来经济预测。根据规定的方法，将需要计提减值的资产分为对公贷款、零售贷款、贷记卡（区分普惠金融卡和普通贷记卡）、票据贴现、同业投资、债券投资、非标投资、表外资产、应收款项等九个</w:t>
      </w:r>
      <w:r>
        <w:rPr>
          <w:rFonts w:hint="eastAsia" w:ascii="仿宋_GB2312" w:hAnsi="仿宋_GB2312" w:eastAsia="仿宋_GB2312" w:cs="仿宋_GB2312"/>
          <w:sz w:val="32"/>
          <w:szCs w:val="32"/>
          <w:lang w:val="en-US" w:eastAsia="zh-CN"/>
        </w:rPr>
        <w:t>信用风险敞口分别计算预期信用损失。</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实施情况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阶段划分情况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根据新准则将金融工具减值计量的过程分为三个阶段，通过判断信用风险自初始确认后是否显著增加或已发生信用减值，对信用风险敞口进行阶段划分：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阶段一：信用风险自初始确认后未显著增加。对于处于该阶段的金融工具，企业应当按照未来 12 个月的预期信用损失计量损失准备。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阶段二：信用风险自初始确认后已显著增加但尚未发生信用减值。对于处于该阶段的金融工具，企业应当按照该工具整个存续期的预期信用损失计量损失准备。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阶段三：初始确认后发生信用减值。对于处于该阶段的金融工具，企业应当按照该工具整个存续期的预期信用损失计量损失准备。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评估结果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度，我社按新会计准则等实施预期信用损失法，当年新提取各项资产减值损失准备1605.47万元，当年冲销各项资产减值损失准备2198.84万元，当年转回各项资产减值损失准备971.67万元，期末资产减值准备余额12884.91万元，资产减值准备充足率304.07%，其中贷款减值准备余额11204.51万元，贷款减值准备充足率301.35%；拨备覆盖率626.08%，拨贷比6.94%，成本收入比39.54%；资产利润率1.26%；资本利润率8.87%；资本充足率32.47%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（三）取得的成效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立了相对完善的数据体系。依托省联社估值减值系统在实施预期信用损失法的过程中，建立了较为完善的数据体系，包括历史数据、经济环境和未来预期等方面的数据。这些数据的建立和管理，为预测信用损失提供了有力的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2.完善了预测模型。依托省联社估值减值系统建立了多种预测模型，并对这些模型进行了验证和修正。后续通过不断调整和完善，确保进一步提高预测模型的准确性和可靠性。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3.加强了内部控制。在实施预期信用损失法的过程中，加强了内部控制，明确了各个部门的职责和权限。同时，还建立了审计机制，后续将持续对预测结果进行了审计和验证。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4.提高了风险管理水平。预期信用损失法的实施，有助于提高我社的风险管理水平。通过对未来信用损失的预测和管理，能够更好地控制信用风险，提高资产质量和盈利能力。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尽管预期信用损失法的实施取得了一定的成效，但是我社在转换实施预期信用损失法初期，难免在实践中还存在一些问题，需要进一步加以解决。主要表现为以下几个方面：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1.数据完整性需要提升。假如数据不完整或者不准确，将对预测结果的准确性造成一定的影响。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2.预测模型有待改进。特别是在考虑到经济环境和未来预期的情况下，预测模型需要更加精细和复杂。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3.在数据管理和预测结果验证方面，还需要进一步完善。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四、内外部模型验证和内外部审计情况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我社自行开发搭建模型存在较大困难，因此采用省联社开发的系统和模型（即估值减值测算系统）。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社《柘荣联社实施＜商业银行预期信用损失法实施管理办法＞的方案》及相应模型方案已于2022年12月印发，根据省联社指导方案约每半年更新一次预期信用损失法模型方案相关参数。在审计方面，根据反馈联系的多家外部审计机构均表示目前的业务能力尚不完全具备审计预期信用损失法的能力，故审计事项未能按预定方案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五、下阶段改进工作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预期信用损失法的实施是一个需要长期完善的过程，需要不断地完善和改进。未来，我社将继续加强对预期信用损失法的实施和管理，特别是在以下几个方面：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1.加强数据管理。我社将进一步加强对数据的管理和维护，确保数据的完整性和准确性。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2.完善预测模型。我社将在省联社指导下继续改进预测模型，特别是在考虑到经济环境和未来预期的情况下，将模型设计得更加精细和复杂。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3.加强内部控制和审计。我社将进一步加强内部控制，确保预测结果的准确性和可靠性，同时对预期信用损失法的实施加强内外部审计。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4.提高风险管理水平。预期信用损失法的实施是为了提高风险管理水平，我社将继续加强风险管理，控制信用风险，提高资产质量和盈利能力。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实施预期信用损失法对于我社的风险管理和资产质量具有重要的意义，可帮助我们更好地管理我们的贷款组合的信用风险。我社已经开始将其纳入全面风险管理过程中，但是仍然需要进一步加以完善和改进模型，以确保其持续有效。相信在全体员工的共同努力下，我社将能够更好地实施</w:t>
      </w:r>
      <w:bookmarkStart w:id="0" w:name="_GoBack"/>
      <w:r>
        <w:rPr>
          <w:rFonts w:hint="eastAsia" w:ascii="仿宋_GB2312" w:hAnsi="仿宋_GB2312" w:eastAsia="仿宋_GB2312" w:cs="仿宋_GB2312"/>
          <w:sz w:val="32"/>
          <w:szCs w:val="32"/>
          <w:lang w:val="en-US" w:eastAsia="zh-CN"/>
        </w:rPr>
        <w:t>商业银行预期信用损失法，提高风险管理水平和资产质</w:t>
      </w:r>
      <w:bookmarkEnd w:id="0"/>
      <w:r>
        <w:rPr>
          <w:rFonts w:hint="eastAsia" w:ascii="仿宋_GB2312" w:hAnsi="仿宋_GB2312" w:eastAsia="仿宋_GB2312" w:cs="仿宋_GB2312"/>
          <w:sz w:val="32"/>
          <w:szCs w:val="32"/>
          <w:lang w:val="en-US" w:eastAsia="zh-CN"/>
        </w:rPr>
        <w:t>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柘荣县农村信用合作联社股份有限公司</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sz w:val="32"/>
          <w:szCs w:val="32"/>
          <w:lang w:val="en-US" w:eastAsia="zh-CN"/>
        </w:rPr>
        <w:t xml:space="preserve">                 2025年3月6日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DF544"/>
    <w:multiLevelType w:val="singleLevel"/>
    <w:tmpl w:val="A7ADF544"/>
    <w:lvl w:ilvl="0" w:tentative="0">
      <w:start w:val="2"/>
      <w:numFmt w:val="chineseCounting"/>
      <w:suff w:val="nothing"/>
      <w:lvlText w:val="%1、"/>
      <w:lvlJc w:val="left"/>
      <w:rPr>
        <w:rFonts w:hint="eastAsia"/>
      </w:rPr>
    </w:lvl>
  </w:abstractNum>
  <w:abstractNum w:abstractNumId="1">
    <w:nsid w:val="214BF778"/>
    <w:multiLevelType w:val="singleLevel"/>
    <w:tmpl w:val="214BF778"/>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05D07"/>
    <w:rsid w:val="07D37F63"/>
    <w:rsid w:val="08C83CF3"/>
    <w:rsid w:val="10F05606"/>
    <w:rsid w:val="1C505D07"/>
    <w:rsid w:val="1D1477EC"/>
    <w:rsid w:val="25863EA5"/>
    <w:rsid w:val="2794278A"/>
    <w:rsid w:val="2F12151F"/>
    <w:rsid w:val="2FCF63D0"/>
    <w:rsid w:val="338A28AD"/>
    <w:rsid w:val="345068F7"/>
    <w:rsid w:val="37274E37"/>
    <w:rsid w:val="3D653CE9"/>
    <w:rsid w:val="400805EC"/>
    <w:rsid w:val="48E535EA"/>
    <w:rsid w:val="579D1EC2"/>
    <w:rsid w:val="5FED4F27"/>
    <w:rsid w:val="603156F8"/>
    <w:rsid w:val="716F07A3"/>
    <w:rsid w:val="75DC1CF3"/>
    <w:rsid w:val="77CF0D3A"/>
    <w:rsid w:val="79E15B32"/>
    <w:rsid w:val="7ACB4CB6"/>
    <w:rsid w:val="7D591EF9"/>
    <w:rsid w:val="7F58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2023-04-18T09:10:00Z</dcterms:created>
  <dc:creator>lenovo</dc:creator>
  <cp:lastModifiedBy>袁晓燕</cp:lastModifiedBy>
  <dcterms:modified xsi:type="dcterms:W3CDTF">2025-11-06T02:09:35Z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F67FA7B685A44D8C9F3B2058A3939F52_12</vt:lpwstr>
  </property>
</Properties>
</file>